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svg" ContentType="image/svg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30" w:name="chapter-03-analysis-plan-delivery"/>
    <w:p>
      <w:pPr>
        <w:pStyle w:val="Heading1"/>
      </w:pPr>
      <w:r>
        <w:t xml:space="preserve">Chapter 03 — Analysis → Plan → Delivery</w:t>
      </w:r>
    </w:p>
    <w:p>
      <w:pPr>
        <w:pStyle w:val="FirstParagraph"/>
      </w:pPr>
      <w:r>
        <w:rPr>
          <w:b/>
          <w:bCs/>
        </w:rPr>
        <w:t xml:space="preserve">The transformation engine — how an assessment becomes governed change on the target surface</w:t>
      </w:r>
    </w:p>
    <w:p>
      <w:pPr>
        <w:pStyle w:val="BlockText"/>
      </w:pPr>
      <w:r>
        <w:rPr>
          <w:b/>
          <w:bCs/>
        </w:rPr>
        <w:t xml:space="preserve">Dependency chain:</w:t>
      </w:r>
      <w:r>
        <w:t xml:space="preserve"> </w:t>
      </w:r>
      <w:r>
        <w:t xml:space="preserve">Inventory →</w:t>
      </w:r>
      <w:r>
        <w:t xml:space="preserve"> </w:t>
      </w:r>
      <w:r>
        <w:rPr>
          <w:b/>
          <w:bCs/>
        </w:rPr>
        <w:t xml:space="preserve">Plan</w:t>
      </w:r>
      <w:r>
        <w:t xml:space="preserve"> </w:t>
      </w:r>
      <w:r>
        <w:t xml:space="preserve">→ Identity → Policy → Network services → Devices and servers → Access plane → Retire AD DS → Prove steady state</w:t>
      </w:r>
    </w:p>
    <w:bookmarkStart w:id="12" w:name="the-pipeline-contract"/>
    <w:p>
      <w:pPr>
        <w:pStyle w:val="Heading2"/>
      </w:pPr>
      <w:r>
        <w:t xml:space="preserve">The pipeline contract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Diagram" title="" id="10" name="Picture"/>
            <a:graphic>
              <a:graphicData uri="http://schemas.openxmlformats.org/drawingml/2006/picture">
                <pic:pic>
                  <pic:nvPicPr>
                    <pic:cNvPr descr="../images/cshc/analysis-plan-delivery.svg" id="11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Diagram</w:t>
      </w:r>
    </w:p>
    <w:p>
      <w:pPr>
        <w:pStyle w:val="BodyText"/>
      </w:pPr>
      <w:r>
        <w:t xml:space="preserve">The modernization framework turns an Active Directory assessment into a delivered Hybrid-Cloud change through three sequential stages:</w:t>
      </w:r>
      <w:r>
        <w:t xml:space="preserve"> </w:t>
      </w:r>
      <w:r>
        <w:rPr>
          <w:b/>
          <w:bCs/>
        </w:rPr>
        <w:t xml:space="preserve">Analyze</w:t>
      </w:r>
      <w:r>
        <w:t xml:space="preserve">,</w:t>
      </w:r>
      <w:r>
        <w:t xml:space="preserve"> </w:t>
      </w:r>
      <w:r>
        <w:rPr>
          <w:b/>
          <w:bCs/>
        </w:rPr>
        <w:t xml:space="preserve">Plan</w:t>
      </w:r>
      <w:r>
        <w:t xml:space="preserve">,</w:t>
      </w:r>
      <w:r>
        <w:t xml:space="preserve"> </w:t>
      </w:r>
      <w:r>
        <w:rPr>
          <w:b/>
          <w:bCs/>
        </w:rPr>
        <w:t xml:space="preserve">Deliver</w:t>
      </w:r>
      <w:r>
        <w:t xml:space="preserve">. Each stage produces a signed, versioned artifact in the authoritative repository. Each stage has a distinct responsibility (governance review or execution) and a distinct authorization gate. Nothing skips a stage. Nothing touches the target surface without a plan. No plan touches the target surface without authorization.</w:t>
      </w:r>
    </w:p>
    <w:bookmarkEnd w:id="12"/>
    <w:bookmarkStart w:id="13" w:name="why-three-stages-not-one"/>
    <w:p>
      <w:pPr>
        <w:pStyle w:val="Heading2"/>
      </w:pPr>
      <w:r>
        <w:t xml:space="preserve">Why three stages (not one)</w:t>
      </w:r>
    </w:p>
    <w:p>
      <w:pPr>
        <w:pStyle w:val="FirstParagraph"/>
      </w:pPr>
      <w:r>
        <w:t xml:space="preserve">The obvious alternative — “scan the forest, apply the changes” — is how many one-off migration scripts work. It fails for three reasons: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Changes are not reviewable.</w:t>
      </w:r>
      <w:r>
        <w:t xml:space="preserve"> </w:t>
      </w:r>
      <w:r>
        <w:t xml:space="preserve">A tool that reads and writes in one pass gives an operator no chance to inspect what is about to happen.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Provenance is thin.</w:t>
      </w:r>
      <w:r>
        <w:t xml:space="preserve"> </w:t>
      </w:r>
      <w:r>
        <w:t xml:space="preserve">If the scan drifts between read and write, the resulting change is attributed to a phantom input.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Rollback is impossible.</w:t>
      </w:r>
      <w:r>
        <w:t xml:space="preserve"> </w:t>
      </w:r>
      <w:r>
        <w:t xml:space="preserve">Without a materialized plan, there is no diff to invert.</w:t>
      </w:r>
    </w:p>
    <w:p>
      <w:pPr>
        <w:pStyle w:val="FirstParagraph"/>
      </w:pPr>
      <w:r>
        <w:t xml:space="preserve">Separating Analyze, Plan, and Deliver gives three review gates, three audit trails, and three named artifacts per run. This is what “governed modernization” means in practice.</w:t>
      </w:r>
    </w:p>
    <w:bookmarkEnd w:id="13"/>
    <w:bookmarkStart w:id="14" w:name="stage-1-analyze"/>
    <w:p>
      <w:pPr>
        <w:pStyle w:val="Heading2"/>
      </w:pPr>
      <w:r>
        <w:t xml:space="preserve">Stage 1 — Analyze</w:t>
      </w:r>
    </w:p>
    <w:p>
      <w:pPr>
        <w:pStyle w:val="FirstParagraph"/>
      </w:pPr>
      <w:r>
        <w:rPr>
          <w:b/>
          <w:bCs/>
        </w:rPr>
        <w:t xml:space="preserve">Input:</w:t>
      </w:r>
      <w:r>
        <w:t xml:space="preserve"> </w:t>
      </w:r>
      <w:r>
        <w:t xml:space="preserve">the raw assessment artifact set from Chapter 02.</w:t>
      </w:r>
      <w:r>
        <w:br/>
      </w:r>
      <w:r>
        <w:rPr>
          <w:b/>
          <w:bCs/>
        </w:rPr>
        <w:t xml:space="preserve">Output:</w:t>
      </w:r>
      <w:r>
        <w:t xml:space="preserve"> </w:t>
      </w:r>
      <w:r>
        <w:t xml:space="preserve">a normalized analysis report + a proposed change set.</w:t>
      </w:r>
      <w:r>
        <w:br/>
      </w:r>
      <w:r>
        <w:rPr>
          <w:b/>
          <w:bCs/>
        </w:rPr>
        <w:t xml:space="preserve">Responsibility:</w:t>
      </w:r>
      <w:r>
        <w:t xml:space="preserve"> </w:t>
      </w:r>
      <w:r>
        <w:t xml:space="preserve">Governance layer.</w:t>
      </w:r>
    </w:p>
    <w:p>
      <w:pPr>
        <w:pStyle w:val="BodyText"/>
      </w:pPr>
      <w:r>
        <w:t xml:space="preserve">The Analyze stage reads the eleven ingestion streams and produces four derivative artifacts, each stored under</w:t>
      </w:r>
      <w:r>
        <w:t xml:space="preserve"> </w:t>
      </w:r>
      <w:r>
        <w:rPr>
          <w:rStyle w:val="VerbatimChar"/>
        </w:rPr>
        <w:t xml:space="preserve">plans/&lt;plan-id&gt;/analysis/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Current-state graph.</w:t>
      </w:r>
      <w:r>
        <w:t xml:space="preserve"> </w:t>
      </w:r>
      <w:r>
        <w:t xml:space="preserve">A normalized representation of the forest — organizational units, users, computers, groups, Group Policy links, trust edges, service-principal-name map — in a single graph. This is the input to every downstream decision.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Target-state graph.</w:t>
      </w:r>
      <w:r>
        <w:t xml:space="preserve"> </w:t>
      </w:r>
      <w:r>
        <w:t xml:space="preserve">The proposed Hybrid-Cloud equivalent — attribute-driven hierarchy, dynamic group rule set, administrative-unit map, Conditional Access targeting, device-management compliance groupings, hybrid-management tag set, IP address management record set. This is what the finished state looks like.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Diff.</w:t>
      </w:r>
      <w:r>
        <w:t xml:space="preserve"> </w:t>
      </w:r>
      <w:r>
        <w:t xml:space="preserve">The machine-readable delta between current and target. A list of proposed additions, modifications, retirements, and no-change-needed items, each typed and each linked to a source record in the assessment.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Risk score.</w:t>
      </w:r>
      <w:r>
        <w:t xml:space="preserve"> </w:t>
      </w:r>
      <w:r>
        <w:t xml:space="preserve">The blast-radius model for the change set — which users are affected, which downstream systems get touched, which boundaries are crossed, which compliance controls are in scope.</w:t>
      </w:r>
    </w:p>
    <w:p>
      <w:pPr>
        <w:pStyle w:val="FirstParagraph"/>
      </w:pPr>
      <w:r>
        <w:t xml:space="preserve">Analysis is deterministic: given the same assessment input, it produces the same four artifacts. This is the property the review gate depends on. An analysis whose output varies run-to-run is broken and rejected.</w:t>
      </w:r>
    </w:p>
    <w:bookmarkEnd w:id="14"/>
    <w:bookmarkStart w:id="19" w:name="stage-2-plan"/>
    <w:p>
      <w:pPr>
        <w:pStyle w:val="Heading2"/>
      </w:pPr>
      <w:r>
        <w:t xml:space="preserve">Stage 2 — Plan</w:t>
      </w:r>
    </w:p>
    <w:p>
      <w:pPr>
        <w:pStyle w:val="FirstParagraph"/>
      </w:pPr>
      <w:r>
        <w:rPr>
          <w:b/>
          <w:bCs/>
        </w:rPr>
        <w:t xml:space="preserve">Input:</w:t>
      </w:r>
      <w:r>
        <w:t xml:space="preserve"> </w:t>
      </w:r>
      <w:r>
        <w:t xml:space="preserve">the Analyze output + the authoritative group library, delegation matrix, and decision guidance.</w:t>
      </w:r>
      <w:r>
        <w:br/>
      </w:r>
      <w:r>
        <w:rPr>
          <w:b/>
          <w:bCs/>
        </w:rPr>
        <w:t xml:space="preserve">Output:</w:t>
      </w:r>
      <w:r>
        <w:t xml:space="preserve"> </w:t>
      </w:r>
      <w:r>
        <w:t xml:space="preserve">a signed, executable Plan.</w:t>
      </w:r>
      <w:r>
        <w:br/>
      </w:r>
      <w:r>
        <w:rPr>
          <w:b/>
          <w:bCs/>
        </w:rPr>
        <w:t xml:space="preserve">Responsibility:</w:t>
      </w:r>
      <w:r>
        <w:t xml:space="preserve"> </w:t>
      </w:r>
      <w:r>
        <w:t xml:space="preserve">Governance layer.</w:t>
      </w:r>
    </w:p>
    <w:p>
      <w:pPr>
        <w:pStyle w:val="BodyText"/>
      </w:pPr>
      <w:r>
        <w:t xml:space="preserve">The Plan stage takes the Diff and expands it into a structured, deterministic action sequence. Each action is: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Typed</w:t>
      </w:r>
      <w:r>
        <w:t xml:space="preserve"> </w:t>
      </w:r>
      <w:r>
        <w:t xml:space="preserve">— one of a defined set of action types (for example: create-user, set-extension-attribute, create-dynamic-group, assign-administrative-unit, set-conditional-access-target, create-compliance-policy, update-ipam-record, enroll-hybrid-server, rotate-service-principal).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Scoped</w:t>
      </w:r>
      <w:r>
        <w:t xml:space="preserve"> </w:t>
      </w:r>
      <w:r>
        <w:t xml:space="preserve">— bounded to a single target object. No action type permits “update all users whose …”; the scope is pre-materialized.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Dependency-ordered</w:t>
      </w:r>
      <w:r>
        <w:t xml:space="preserve"> </w:t>
      </w:r>
      <w:r>
        <w:t xml:space="preserve">— actions that depend on others are ordered behind them (create the administrative unit before scoping the role to it).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Rollback-paired</w:t>
      </w:r>
      <w:r>
        <w:t xml:space="preserve"> </w:t>
      </w:r>
      <w:r>
        <w:t xml:space="preserve">— every action has a generated inverse, so the same plan can be run in reverse.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Provenance-linked</w:t>
      </w:r>
      <w:r>
        <w:t xml:space="preserve"> </w:t>
      </w:r>
      <w:r>
        <w:t xml:space="preserve">— pointer back to the source assessment record, the governing rule, and the analysis step that produced it.</w:t>
      </w:r>
    </w:p>
    <w:p>
      <w:pPr>
        <w:pStyle w:val="FirstParagraph"/>
      </w:pPr>
      <w:r>
        <w:t xml:space="preserve">A plan is a YAML document that looks, in abbreviated form, like this:</w:t>
      </w:r>
    </w:p>
    <w:p>
      <w:pPr>
        <w:pStyle w:val="SourceCode"/>
      </w:pPr>
      <w:r>
        <w:rPr>
          <w:rStyle w:val="FunctionTok"/>
        </w:rPr>
        <w:t xml:space="preserve">plan_id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2026-04-24-1200-structure-phase2</w:t>
      </w:r>
      <w:r>
        <w:br/>
      </w:r>
      <w:r>
        <w:rPr>
          <w:rStyle w:val="FunctionTok"/>
        </w:rPr>
        <w:t xml:space="preserve">assessment_id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2026-04-24-1030-host-tierB</w:t>
      </w:r>
      <w:r>
        <w:br/>
      </w:r>
      <w:r>
        <w:rPr>
          <w:rStyle w:val="FunctionTok"/>
        </w:rPr>
        <w:t xml:space="preserve">authorized_by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~</w:t>
      </w:r>
      <w:r>
        <w:rPr>
          <w:rStyle w:val="CommentTok"/>
        </w:rPr>
        <w:t xml:space="preserve">          # filled at authorization step</w:t>
      </w:r>
      <w:r>
        <w:br/>
      </w:r>
      <w:r>
        <w:rPr>
          <w:rStyle w:val="FunctionTok"/>
        </w:rPr>
        <w:t xml:space="preserve">boundary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defined-scope</w:t>
      </w:r>
      <w:r>
        <w:br/>
      </w:r>
      <w:r>
        <w:rPr>
          <w:rStyle w:val="FunctionTok"/>
        </w:rPr>
        <w:t xml:space="preserve">actions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id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A0001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type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create-administrative-unit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target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  </w:t>
      </w:r>
      <w:r>
        <w:rPr>
          <w:rStyle w:val="FunctionTok"/>
        </w:rPr>
        <w:t xml:space="preserve">display_name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AU-NCR-Finance</w:t>
      </w:r>
      <w:r>
        <w:br/>
      </w:r>
      <w:r>
        <w:rPr>
          <w:rStyle w:val="AttributeTok"/>
        </w:rPr>
        <w:t xml:space="preserve">      </w:t>
      </w:r>
      <w:r>
        <w:rPr>
          <w:rStyle w:val="FunctionTok"/>
        </w:rPr>
        <w:t xml:space="preserve">membership_rule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StringTok"/>
        </w:rPr>
        <w:t xml:space="preserve">"(user.extensionAttribute1 -eq 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NCR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) and (user.department -eq 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Finance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)"</w:t>
      </w:r>
      <w:r>
        <w:br/>
      </w:r>
      <w:r>
        <w:rPr>
          <w:rStyle w:val="AttributeTok"/>
        </w:rPr>
        <w:t xml:space="preserve">      </w:t>
      </w:r>
      <w:r>
        <w:rPr>
          <w:rStyle w:val="FunctionTok"/>
        </w:rPr>
        <w:t xml:space="preserve">restricted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provenance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  </w:t>
      </w:r>
      <w:r>
        <w:rPr>
          <w:rStyle w:val="FunctionTok"/>
        </w:rPr>
        <w:t xml:space="preserve">source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assessments/2026-04-24-1030/ou-hierarchy.json</w:t>
      </w:r>
      <w:r>
        <w:rPr>
          <w:rStyle w:val="CommentTok"/>
        </w:rPr>
        <w:t xml:space="preserve">#ou/FIN</w:t>
      </w:r>
      <w:r>
        <w:br/>
      </w:r>
      <w:r>
        <w:rPr>
          <w:rStyle w:val="AttributeTok"/>
        </w:rPr>
        <w:t xml:space="preserve">      </w:t>
      </w:r>
      <w:r>
        <w:rPr>
          <w:rStyle w:val="FunctionTok"/>
        </w:rPr>
        <w:t xml:space="preserve">rule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delegation-matrix/tier2-au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rollback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  </w:t>
      </w:r>
      <w:r>
        <w:rPr>
          <w:rStyle w:val="FunctionTok"/>
        </w:rPr>
        <w:t xml:space="preserve">type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delete-administrative-unit</w:t>
      </w:r>
      <w:r>
        <w:br/>
      </w:r>
      <w:r>
        <w:rPr>
          <w:rStyle w:val="AttributeTok"/>
        </w:rPr>
        <w:t xml:space="preserve">      </w:t>
      </w:r>
      <w:r>
        <w:rPr>
          <w:rStyle w:val="FunctionTok"/>
        </w:rPr>
        <w:t xml:space="preserve">target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AU-NCR-Finance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depends_on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KeywordTok"/>
        </w:rPr>
        <w:t xml:space="preserve">[]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id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A0002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type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assign-role-scoped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target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  </w:t>
      </w:r>
      <w:r>
        <w:rPr>
          <w:rStyle w:val="FunctionTok"/>
        </w:rPr>
        <w:t xml:space="preserve">role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User Administrator</w:t>
      </w:r>
      <w:r>
        <w:br/>
      </w:r>
      <w:r>
        <w:rPr>
          <w:rStyle w:val="AttributeTok"/>
        </w:rPr>
        <w:t xml:space="preserve">      </w:t>
      </w:r>
      <w:r>
        <w:rPr>
          <w:rStyle w:val="FunctionTok"/>
        </w:rPr>
        <w:t xml:space="preserve">principal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Structure-NCR-Finance-Admins</w:t>
      </w:r>
      <w:r>
        <w:rPr>
          <w:rStyle w:val="CommentTok"/>
        </w:rPr>
        <w:t xml:space="preserve">   # role-assignable, assigned membership</w:t>
      </w:r>
      <w:r>
        <w:br/>
      </w:r>
      <w:r>
        <w:rPr>
          <w:rStyle w:val="AttributeTok"/>
        </w:rPr>
        <w:t xml:space="preserve">      </w:t>
      </w:r>
      <w:r>
        <w:rPr>
          <w:rStyle w:val="FunctionTok"/>
        </w:rPr>
        <w:t xml:space="preserve">scope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/administrativeUnits/AU-NCR-Finance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provenance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…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depends_on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KeywordTok"/>
        </w:rPr>
        <w:t xml:space="preserve">[</w:t>
      </w:r>
      <w:r>
        <w:rPr>
          <w:rStyle w:val="AttributeTok"/>
        </w:rPr>
        <w:t xml:space="preserve">A0001</w:t>
      </w:r>
      <w:r>
        <w:rPr>
          <w:rStyle w:val="KeywordTok"/>
        </w:rPr>
        <w:t xml:space="preserve">]</w:t>
      </w:r>
    </w:p>
    <w:bookmarkStart w:id="15" w:name="plan-validation"/>
    <w:p>
      <w:pPr>
        <w:pStyle w:val="Heading3"/>
      </w:pPr>
      <w:r>
        <w:t xml:space="preserve">Plan validation</w:t>
      </w:r>
    </w:p>
    <w:p>
      <w:pPr>
        <w:pStyle w:val="FirstParagraph"/>
      </w:pPr>
      <w:r>
        <w:t xml:space="preserve">Before a plan is eligible for authorization, it passes through validation: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Schema validation</w:t>
      </w:r>
      <w:r>
        <w:t xml:space="preserve"> </w:t>
      </w:r>
      <w:r>
        <w:t xml:space="preserve">— conforms to the plan schema.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Rule validation</w:t>
      </w:r>
      <w:r>
        <w:t xml:space="preserve"> </w:t>
      </w:r>
      <w:r>
        <w:t xml:space="preserve">— every dynamic-group name fits the naming pattern; every administrative unit matches the tier structure; every role assignment is valid.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Boundary validation</w:t>
      </w:r>
      <w:r>
        <w:t xml:space="preserve"> </w:t>
      </w:r>
      <w:r>
        <w:t xml:space="preserve">— no action targets an out-of-scope service; classification tags are correctly set.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Safety checks</w:t>
      </w:r>
      <w:r>
        <w:t xml:space="preserve"> </w:t>
      </w:r>
      <w:r>
        <w:t xml:space="preserve">— no action deletes more than a defined number of items at once without explicit confirmation; no rotation of credentials for roles marked high permanence; no change to the governance substrate itself outside a controlled change process.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Idempotency check</w:t>
      </w:r>
      <w:r>
        <w:t xml:space="preserve"> </w:t>
      </w:r>
      <w:r>
        <w:t xml:space="preserve">— the plan is equivalent to re-planning from the current state (so a re-run of a partially completed plan is safe).</w:t>
      </w:r>
    </w:p>
    <w:p>
      <w:pPr>
        <w:pStyle w:val="FirstParagraph"/>
      </w:pPr>
      <w:r>
        <w:t xml:space="preserve">A plan that fails any validation is rejected and the diff returned for correction. No action in a failed plan is dispatched. (A plan that passes validation can still halt mid-delivery; see Failure modes below.)</w:t>
      </w:r>
    </w:p>
    <w:bookmarkEnd w:id="15"/>
    <w:bookmarkStart w:id="18" w:name="authorization-gate"/>
    <w:p>
      <w:pPr>
        <w:pStyle w:val="Heading3"/>
      </w:pPr>
      <w:r>
        <w:t xml:space="preserve">Authorization gate</w:t>
      </w:r>
    </w:p>
    <w:p>
      <w:pPr>
        <w:pStyle w:val="FirstParagraph"/>
      </w:pPr>
      <w:r>
        <w:t xml:space="preserve">A validated plan is not yet executable. (Role assignments in a plan always target role-assignable groups with assigned membership, because Entra ID does not allow dynamic membership for them.</w:t>
      </w:r>
      <w:r>
        <w:rPr>
          <w:rStyle w:val="FootnoteReference"/>
        </w:rPr>
        <w:footnoteReference w:id="16"/>
      </w:r>
      <w:r>
        <w:t xml:space="preserve">) Authorization requires:</w:t>
      </w:r>
    </w:p>
    <w:p>
      <w:pPr>
        <w:pStyle w:val="Compact"/>
        <w:numPr>
          <w:ilvl w:val="0"/>
          <w:numId w:val="1005"/>
        </w:numPr>
      </w:pPr>
      <w:r>
        <w:t xml:space="preserve">Review in the repository pull-request interface.</w:t>
      </w:r>
    </w:p>
    <w:p>
      <w:pPr>
        <w:pStyle w:val="Compact"/>
        <w:numPr>
          <w:ilvl w:val="0"/>
          <w:numId w:val="1005"/>
        </w:numPr>
      </w:pPr>
      <w:r>
        <w:t xml:space="preserve">A summary of the plan’s blast radius, attached to the pull request.</w:t>
      </w:r>
    </w:p>
    <w:p>
      <w:pPr>
        <w:pStyle w:val="Compact"/>
        <w:numPr>
          <w:ilvl w:val="0"/>
          <w:numId w:val="1005"/>
        </w:numPr>
      </w:pPr>
      <w:r>
        <w:t xml:space="preserve">At least one approver of record (separation of duties).</w:t>
      </w:r>
    </w:p>
    <w:p>
      <w:pPr>
        <w:pStyle w:val="Compact"/>
        <w:numPr>
          <w:ilvl w:val="0"/>
          <w:numId w:val="1005"/>
        </w:numPr>
      </w:pPr>
      <w:r>
        <w:t xml:space="preserve">Explicit sign-off on any actions marked require confirmation.</w:t>
      </w:r>
    </w:p>
    <w:p>
      <w:pPr>
        <w:pStyle w:val="Compact"/>
        <w:numPr>
          <w:ilvl w:val="0"/>
          <w:numId w:val="1005"/>
        </w:numPr>
      </w:pPr>
      <w:r>
        <w:t xml:space="preserve">A signed commit merging the plan into</w:t>
      </w:r>
      <w:r>
        <w:t xml:space="preserve"> </w:t>
      </w:r>
      <w:r>
        <w:rPr>
          <w:rStyle w:val="VerbatimChar"/>
        </w:rPr>
        <w:t xml:space="preserve">plans/&lt;plan-id&gt;/authorized/</w:t>
      </w:r>
      <w:r>
        <w:t xml:space="preserve">.</w:t>
      </w:r>
    </w:p>
    <w:p>
      <w:pPr>
        <w:pStyle w:val="FirstParagraph"/>
      </w:pPr>
      <w:r>
        <w:t xml:space="preserve">Only after these gates complete does the plan graduate from proposed to authorized. Only an authorized plan can cross the handoff line to the execution layer.</w:t>
      </w:r>
    </w:p>
    <w:bookmarkEnd w:id="18"/>
    <w:bookmarkEnd w:id="19"/>
    <w:bookmarkStart w:id="22" w:name="stage-3-deliver"/>
    <w:p>
      <w:pPr>
        <w:pStyle w:val="Heading2"/>
      </w:pPr>
      <w:r>
        <w:t xml:space="preserve">Stage 3 — Deliver</w:t>
      </w:r>
    </w:p>
    <w:p>
      <w:pPr>
        <w:pStyle w:val="FirstParagraph"/>
      </w:pPr>
      <w:r>
        <w:rPr>
          <w:b/>
          <w:bCs/>
        </w:rPr>
        <w:t xml:space="preserve">Input:</w:t>
      </w:r>
      <w:r>
        <w:t xml:space="preserve"> </w:t>
      </w:r>
      <w:r>
        <w:t xml:space="preserve">the authorized plan.</w:t>
      </w:r>
      <w:r>
        <w:br/>
      </w:r>
      <w:r>
        <w:rPr>
          <w:b/>
          <w:bCs/>
        </w:rPr>
        <w:t xml:space="preserve">Output:</w:t>
      </w:r>
      <w:r>
        <w:t xml:space="preserve"> </w:t>
      </w:r>
      <w:r>
        <w:t xml:space="preserve">a result log, an evidence packet, and updated state in the target surface.</w:t>
      </w:r>
      <w:r>
        <w:br/>
      </w:r>
      <w:r>
        <w:rPr>
          <w:b/>
          <w:bCs/>
        </w:rPr>
        <w:t xml:space="preserve">Responsibility:</w:t>
      </w:r>
      <w:r>
        <w:t xml:space="preserve"> </w:t>
      </w:r>
      <w:r>
        <w:t xml:space="preserve">Execution layer.</w:t>
      </w:r>
    </w:p>
    <w:p>
      <w:pPr>
        <w:pStyle w:val="BodyText"/>
      </w:pPr>
      <w:r>
        <w:t xml:space="preserve">The execution layer is deliberately a different process, running under a different service principal, with a different credential store and a different log stream than the governance layer. This is the separation of governance and execution made concrete.</w:t>
      </w:r>
    </w:p>
    <w:p>
      <w:pPr>
        <w:pStyle w:val="BodyText"/>
      </w:pPr>
      <w:r>
        <w:t xml:space="preserve">Delivery proceeds as a linear walk through the plan’s action list. For each action: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Fetch</w:t>
      </w:r>
      <w:r>
        <w:t xml:space="preserve"> </w:t>
      </w:r>
      <w:r>
        <w:t xml:space="preserve">the action specification from the authorized plan.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Resolve</w:t>
      </w:r>
      <w:r>
        <w:t xml:space="preserve"> </w:t>
      </w:r>
      <w:r>
        <w:t xml:space="preserve">the target object (Graph API lookup, IPAM fetch, device-management policy lookup, etc.).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Compare</w:t>
      </w:r>
      <w:r>
        <w:t xml:space="preserve"> </w:t>
      </w:r>
      <w:r>
        <w:t xml:space="preserve">current live state to the action’s expected-before state. If the world already matches expected-after, the action is a no-op — mark as skipped: already-matches and continue.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Invoke</w:t>
      </w:r>
      <w:r>
        <w:t xml:space="preserve"> </w:t>
      </w:r>
      <w:r>
        <w:t xml:space="preserve">the adapter’s write method with the action payload.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Verify</w:t>
      </w:r>
      <w:r>
        <w:t xml:space="preserve"> </w:t>
      </w:r>
      <w:r>
        <w:t xml:space="preserve">by re-reading the object and comparing to expected-after.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Record</w:t>
      </w:r>
      <w:r>
        <w:t xml:space="preserve"> </w:t>
      </w:r>
      <w:r>
        <w:t xml:space="preserve">the result — correlation identifier, API response, timing, actual-after state — to</w:t>
      </w:r>
      <w:r>
        <w:t xml:space="preserve"> </w:t>
      </w:r>
      <w:r>
        <w:rPr>
          <w:rStyle w:val="VerbatimChar"/>
        </w:rPr>
        <w:t xml:space="preserve">plans/&lt;plan-id&gt;/results/&lt;action-id&gt;.json</w:t>
      </w:r>
      <w:r>
        <w:t xml:space="preserve">.</w:t>
      </w:r>
    </w:p>
    <w:bookmarkStart w:id="20" w:name="correlation-identifiers"/>
    <w:p>
      <w:pPr>
        <w:pStyle w:val="Heading3"/>
      </w:pPr>
      <w:r>
        <w:t xml:space="preserve">Correlation identifiers</w:t>
      </w:r>
    </w:p>
    <w:p>
      <w:pPr>
        <w:pStyle w:val="FirstParagraph"/>
      </w:pPr>
      <w:r>
        <w:t xml:space="preserve">Every invocation carries a correlation identifier that includes the plan identifier, the action identifier, and a unique run identifier. That identifier appears in:</w:t>
      </w:r>
    </w:p>
    <w:p>
      <w:pPr>
        <w:pStyle w:val="Compact"/>
        <w:numPr>
          <w:ilvl w:val="0"/>
          <w:numId w:val="1007"/>
        </w:numPr>
      </w:pPr>
      <w:r>
        <w:t xml:space="preserve">The API call headers (so vendor-side logs can be cross-referenced).</w:t>
      </w:r>
    </w:p>
    <w:p>
      <w:pPr>
        <w:pStyle w:val="Compact"/>
        <w:numPr>
          <w:ilvl w:val="0"/>
          <w:numId w:val="1007"/>
        </w:numPr>
      </w:pPr>
      <w:r>
        <w:t xml:space="preserve">The local-machine event log and repository commit message.</w:t>
      </w:r>
    </w:p>
    <w:p>
      <w:pPr>
        <w:pStyle w:val="Compact"/>
        <w:numPr>
          <w:ilvl w:val="0"/>
          <w:numId w:val="1007"/>
        </w:numPr>
      </w:pPr>
      <w:r>
        <w:t xml:space="preserve">The evidence packet’s provenance chain.</w:t>
      </w:r>
    </w:p>
    <w:p>
      <w:pPr>
        <w:pStyle w:val="Compact"/>
        <w:numPr>
          <w:ilvl w:val="0"/>
          <w:numId w:val="1007"/>
        </w:numPr>
      </w:pPr>
      <w:r>
        <w:t xml:space="preserve">Telemetry emission.</w:t>
      </w:r>
    </w:p>
    <w:p>
      <w:pPr>
        <w:pStyle w:val="FirstParagraph"/>
      </w:pPr>
      <w:r>
        <w:t xml:space="preserve">A support case opened on a specific action can be traced end-to-end through every log stream.</w:t>
      </w:r>
    </w:p>
    <w:bookmarkEnd w:id="20"/>
    <w:bookmarkStart w:id="21" w:name="failure-modes-and-rollback"/>
    <w:p>
      <w:pPr>
        <w:pStyle w:val="Heading3"/>
      </w:pPr>
      <w:r>
        <w:t xml:space="preserve">Failure modes and rollback</w:t>
      </w:r>
    </w:p>
    <w:p>
      <w:pPr>
        <w:pStyle w:val="FirstParagraph"/>
      </w:pPr>
      <w:r>
        <w:t xml:space="preserve">An action can fail for three reasons: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Transient</w:t>
      </w:r>
      <w:r>
        <w:t xml:space="preserve"> </w:t>
      </w:r>
      <w:r>
        <w:t xml:space="preserve">— network blip, throttling. Retried with backoff, capped at a defined number of attempts.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Adapter error</w:t>
      </w:r>
      <w:r>
        <w:t xml:space="preserve"> </w:t>
      </w:r>
      <w:r>
        <w:t xml:space="preserve">— vendor API returned an error. Action marked failed; plan execution stops; no dependent actions run.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Verification mismatch</w:t>
      </w:r>
      <w:r>
        <w:t xml:space="preserve"> </w:t>
      </w:r>
      <w:r>
        <w:t xml:space="preserve">— action invoked cleanly but re-read does not match expected-after. Action marked drift; plan paused.</w:t>
      </w:r>
    </w:p>
    <w:p>
      <w:pPr>
        <w:pStyle w:val="FirstParagraph"/>
      </w:pPr>
      <w:r>
        <w:t xml:space="preserve">On any non-transient failure, the plan has a choice: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Halt</w:t>
      </w:r>
      <w:r>
        <w:t xml:space="preserve"> </w:t>
      </w:r>
      <w:r>
        <w:t xml:space="preserve">— stop at the failure; leave completed actions in place; return for remediation.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Roll back</w:t>
      </w:r>
      <w:r>
        <w:t xml:space="preserve"> </w:t>
      </w:r>
      <w:r>
        <w:t xml:space="preserve">— invoke the rollback inverse for every completed action in reverse order. Each rollback is itself a verified operation with its own result log.</w:t>
      </w:r>
    </w:p>
    <w:p>
      <w:pPr>
        <w:pStyle w:val="FirstParagraph"/>
      </w:pPr>
      <w:r>
        <w:t xml:space="preserve">The choice is action-typed (some actions are rollback: never — for example, once a user has been deprovisioned, re-hire them rather than “undelete” them). The default is halt; rollback is explicit.</w:t>
      </w:r>
    </w:p>
    <w:bookmarkEnd w:id="21"/>
    <w:bookmarkEnd w:id="22"/>
    <w:bookmarkStart w:id="23" w:name="evidence-packet"/>
    <w:p>
      <w:pPr>
        <w:pStyle w:val="Heading2"/>
      </w:pPr>
      <w:r>
        <w:t xml:space="preserve">Evidence packet</w:t>
      </w:r>
    </w:p>
    <w:p>
      <w:pPr>
        <w:pStyle w:val="FirstParagraph"/>
      </w:pPr>
      <w:r>
        <w:t xml:space="preserve">At the end of delivery, the engine produces an evidence packet — a single immutable artifact that summarizes the run for compliance and audit purposes. The packet contains:</w:t>
      </w:r>
    </w:p>
    <w:p>
      <w:pPr>
        <w:pStyle w:val="Compact"/>
        <w:numPr>
          <w:ilvl w:val="0"/>
          <w:numId w:val="1010"/>
        </w:numPr>
      </w:pPr>
      <w:r>
        <w:t xml:space="preserve">The authorized plan (with reviewer signature).</w:t>
      </w:r>
    </w:p>
    <w:p>
      <w:pPr>
        <w:pStyle w:val="Compact"/>
        <w:numPr>
          <w:ilvl w:val="0"/>
          <w:numId w:val="1010"/>
        </w:numPr>
      </w:pPr>
      <w:r>
        <w:t xml:space="preserve">Every action result (with verification state and correlation identifiers).</w:t>
      </w:r>
    </w:p>
    <w:p>
      <w:pPr>
        <w:pStyle w:val="Compact"/>
        <w:numPr>
          <w:ilvl w:val="0"/>
          <w:numId w:val="1010"/>
        </w:numPr>
      </w:pPr>
      <w:r>
        <w:t xml:space="preserve">The actual-after state of every affected object.</w:t>
      </w:r>
    </w:p>
    <w:p>
      <w:pPr>
        <w:pStyle w:val="Compact"/>
        <w:numPr>
          <w:ilvl w:val="0"/>
          <w:numId w:val="1010"/>
        </w:numPr>
      </w:pPr>
      <w:r>
        <w:t xml:space="preserve">The full run log (structured).</w:t>
      </w:r>
    </w:p>
    <w:p>
      <w:pPr>
        <w:pStyle w:val="Compact"/>
        <w:numPr>
          <w:ilvl w:val="0"/>
          <w:numId w:val="1010"/>
        </w:numPr>
      </w:pPr>
      <w:r>
        <w:t xml:space="preserve">A telemetry export.</w:t>
      </w:r>
    </w:p>
    <w:p>
      <w:pPr>
        <w:pStyle w:val="Compact"/>
        <w:numPr>
          <w:ilvl w:val="0"/>
          <w:numId w:val="1010"/>
        </w:numPr>
      </w:pPr>
      <w:r>
        <w:t xml:space="preserve">A signed attestation from the execution layer that the authorized plan was executed to completion with the results recorded herein.</w:t>
      </w:r>
    </w:p>
    <w:p>
      <w:pPr>
        <w:pStyle w:val="FirstParagraph"/>
      </w:pPr>
      <w:r>
        <w:t xml:space="preserve">The evidence packet is committed to the repository at</w:t>
      </w:r>
      <w:r>
        <w:t xml:space="preserve"> </w:t>
      </w:r>
      <w:r>
        <w:rPr>
          <w:rStyle w:val="VerbatimChar"/>
        </w:rPr>
        <w:t xml:space="preserve">plans/&lt;plan-id&gt;/evidence.json</w:t>
      </w:r>
      <w:r>
        <w:t xml:space="preserve"> </w:t>
      </w:r>
      <w:r>
        <w:t xml:space="preserve">and can be mirrored to a security-information-and-event-management feed.</w:t>
      </w:r>
    </w:p>
    <w:bookmarkEnd w:id="23"/>
    <w:bookmarkStart w:id="24" w:name="concrete-example-the-end-to-end-shape"/>
    <w:p>
      <w:pPr>
        <w:pStyle w:val="Heading2"/>
      </w:pPr>
      <w:r>
        <w:t xml:space="preserve">Concrete example — the end-to-end shape</w:t>
      </w:r>
    </w:p>
    <w:p>
      <w:pPr>
        <w:pStyle w:val="FirstParagraph"/>
      </w:pPr>
      <w:r>
        <w:rPr>
          <w:i/>
          <w:iCs/>
        </w:rPr>
        <w:t xml:space="preserve">Illustrative example.</w:t>
      </w:r>
      <w:r>
        <w:t xml:space="preserve"> </w:t>
      </w:r>
      <w:r>
        <w:t xml:space="preserve">An assessment discovers a Finance organizational unit with 312 users. The Analyze stage proposes attribute values (Department Finance with divisions GRC and Data), three dynamic groups, one Tier-2 administrative unit, and a role scoping.</w:t>
      </w:r>
    </w:p>
    <w:p>
      <w:pPr>
        <w:pStyle w:val="BodyText"/>
      </w:pPr>
      <w:r>
        <w:t xml:space="preserve">The Plan stage expands that into roughly 320 actions: 312 user attribute sets, 3 dynamic-group creates, 1 administrative-unit create, 1 role assignment, plus validation actions.</w:t>
      </w:r>
    </w:p>
    <w:p>
      <w:pPr>
        <w:pStyle w:val="BodyText"/>
      </w:pPr>
      <w:r>
        <w:t xml:space="preserve">Validation runs. The reviewer examines the plan’s summary (blast radius: 312 users affected, boundary respected, no out-of-scope calls, all actions rollback-paired). The reviewer approves; the plan merges to authorized.</w:t>
      </w:r>
    </w:p>
    <w:p>
      <w:pPr>
        <w:pStyle w:val="BodyText"/>
      </w:pPr>
      <w:r>
        <w:t xml:space="preserve">The execution layer picks up the authorized plan, dispatches the actions in dependency order — administrative unit first, dynamic groups second, user attributes third, role assignment last. Each action produces a result file; the final evidence packet is produced.</w:t>
      </w:r>
    </w:p>
    <w:p>
      <w:pPr>
        <w:pStyle w:val="BodyText"/>
      </w:pPr>
      <w:r>
        <w:t xml:space="preserve">The next assessment run reads the new state, produces a new analysis, and — since the world now matches the target — produces a</w:t>
      </w:r>
      <w:r>
        <w:t xml:space="preserve"> </w:t>
      </w:r>
      <w:r>
        <w:rPr>
          <w:b/>
          <w:bCs/>
        </w:rPr>
        <w:t xml:space="preserve">zero-action plan</w:t>
      </w:r>
      <w:r>
        <w:t xml:space="preserve">. This is the steady-state contract: when nothing has drifted, nothing needs to happen.</w:t>
      </w:r>
    </w:p>
    <w:bookmarkEnd w:id="24"/>
    <w:bookmarkStart w:id="25" w:name="what-governed-modernization-feels-like"/>
    <w:p>
      <w:pPr>
        <w:pStyle w:val="Heading2"/>
      </w:pPr>
      <w:r>
        <w:t xml:space="preserve">What governed modernization feels like</w:t>
      </w:r>
    </w:p>
    <w:p>
      <w:pPr>
        <w:pStyle w:val="FirstParagraph"/>
      </w:pPr>
      <w:r>
        <w:t xml:space="preserve">The contrast with the old way is clear. A long-lived forest has historically been modernized by:</w:t>
      </w:r>
    </w:p>
    <w:p>
      <w:pPr>
        <w:pStyle w:val="Compact"/>
        <w:numPr>
          <w:ilvl w:val="0"/>
          <w:numId w:val="1011"/>
        </w:numPr>
      </w:pPr>
      <w:r>
        <w:t xml:space="preserve">Running vendor tools manually, project by project.</w:t>
      </w:r>
    </w:p>
    <w:p>
      <w:pPr>
        <w:pStyle w:val="Compact"/>
        <w:numPr>
          <w:ilvl w:val="0"/>
          <w:numId w:val="1011"/>
        </w:numPr>
      </w:pPr>
      <w:r>
        <w:t xml:space="preserve">Writing change tickets after the change.</w:t>
      </w:r>
    </w:p>
    <w:p>
      <w:pPr>
        <w:pStyle w:val="Compact"/>
        <w:numPr>
          <w:ilvl w:val="0"/>
          <w:numId w:val="1011"/>
        </w:numPr>
      </w:pPr>
      <w:r>
        <w:t xml:space="preserve">Reconciling outcomes in spreadsheets.</w:t>
      </w:r>
    </w:p>
    <w:p>
      <w:pPr>
        <w:pStyle w:val="Compact"/>
        <w:numPr>
          <w:ilvl w:val="0"/>
          <w:numId w:val="1011"/>
        </w:numPr>
      </w:pPr>
      <w:r>
        <w:t xml:space="preserve">Discovering drift during audit.</w:t>
      </w:r>
    </w:p>
    <w:p>
      <w:pPr>
        <w:pStyle w:val="FirstParagraph"/>
      </w:pPr>
      <w:r>
        <w:t xml:space="preserve">Governed modernization proceeds by:</w:t>
      </w:r>
    </w:p>
    <w:p>
      <w:pPr>
        <w:pStyle w:val="Compact"/>
        <w:numPr>
          <w:ilvl w:val="0"/>
          <w:numId w:val="1012"/>
        </w:numPr>
      </w:pPr>
      <w:r>
        <w:t xml:space="preserve">Reading the forest once, structurally, into a versioned artifact.</w:t>
      </w:r>
    </w:p>
    <w:p>
      <w:pPr>
        <w:pStyle w:val="Compact"/>
        <w:numPr>
          <w:ilvl w:val="0"/>
          <w:numId w:val="1012"/>
        </w:numPr>
      </w:pPr>
      <w:r>
        <w:t xml:space="preserve">Proposing the full target state as a reviewable diff.</w:t>
      </w:r>
    </w:p>
    <w:p>
      <w:pPr>
        <w:pStyle w:val="Compact"/>
        <w:numPr>
          <w:ilvl w:val="0"/>
          <w:numId w:val="1012"/>
        </w:numPr>
      </w:pPr>
      <w:r>
        <w:t xml:space="preserve">Executing the diff under governance, with evidence per action.</w:t>
      </w:r>
    </w:p>
    <w:p>
      <w:pPr>
        <w:pStyle w:val="Compact"/>
        <w:numPr>
          <w:ilvl w:val="0"/>
          <w:numId w:val="1012"/>
        </w:numPr>
      </w:pPr>
      <w:r>
        <w:t xml:space="preserve">Detecting drift continuously, before the audit finds it.</w:t>
      </w:r>
    </w:p>
    <w:p>
      <w:pPr>
        <w:pStyle w:val="FirstParagraph"/>
      </w:pPr>
      <w:r>
        <w:t xml:space="preserve">Every stage produces a file in the repository. Every file has a signature. Every signature points to an operator. The question “who changed what, when, and why?” has a literal answer in the commit history.</w:t>
      </w:r>
    </w:p>
    <w:bookmarkEnd w:id="25"/>
    <w:bookmarkStart w:id="26" w:name="key-takeaways"/>
    <w:p>
      <w:pPr>
        <w:pStyle w:val="Heading2"/>
      </w:pPr>
      <w:r>
        <w:t xml:space="preserve">Key takeaways</w:t>
      </w:r>
    </w:p>
    <w:p>
      <w:pPr>
        <w:pStyle w:val="Compact"/>
        <w:numPr>
          <w:ilvl w:val="0"/>
          <w:numId w:val="1013"/>
        </w:numPr>
      </w:pPr>
      <w:r>
        <w:t xml:space="preserve">Analyze, plan, and deliver are separate stages with separate review gates.</w:t>
      </w:r>
    </w:p>
    <w:p>
      <w:pPr>
        <w:pStyle w:val="Compact"/>
        <w:numPr>
          <w:ilvl w:val="0"/>
          <w:numId w:val="1013"/>
        </w:numPr>
      </w:pPr>
      <w:r>
        <w:t xml:space="preserve">Every action is scoped, dependency-ordered, rollback-paired, and traceable to its source.</w:t>
      </w:r>
    </w:p>
    <w:p>
      <w:pPr>
        <w:pStyle w:val="Compact"/>
        <w:numPr>
          <w:ilvl w:val="0"/>
          <w:numId w:val="1013"/>
        </w:numPr>
      </w:pPr>
      <w:r>
        <w:t xml:space="preserve">When nothing has drifted, the next run produces a zero-action plan.</w:t>
      </w:r>
    </w:p>
    <w:bookmarkEnd w:id="26"/>
    <w:bookmarkStart w:id="29" w:name="authoritative-references"/>
    <w:p>
      <w:pPr>
        <w:pStyle w:val="Heading2"/>
      </w:pPr>
      <w:r>
        <w:t xml:space="preserve">Authoritative references</w:t>
      </w:r>
    </w:p>
    <w:p>
      <w:pPr>
        <w:pStyle w:val="Compact"/>
        <w:numPr>
          <w:ilvl w:val="0"/>
          <w:numId w:val="1014"/>
        </w:numPr>
      </w:pPr>
      <w:r>
        <w:t xml:space="preserve">Microsoft Learn,</w:t>
      </w:r>
      <w:r>
        <w:t xml:space="preserve"> </w:t>
      </w:r>
      <w:hyperlink r:id="rId17">
        <w:r>
          <w:rPr>
            <w:rStyle w:val="Hyperlink"/>
          </w:rPr>
          <w:t xml:space="preserve">Use Microsoft Entra groups to manage role assignments - Microsoft Entra ID</w:t>
        </w:r>
      </w:hyperlink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Previous:</w:t>
      </w:r>
      <w:r>
        <w:t xml:space="preserve"> </w:t>
      </w:r>
      <w:hyperlink r:id="rId27">
        <w:r>
          <w:rPr>
            <w:rStyle w:val="Hyperlink"/>
          </w:rPr>
          <w:t xml:space="preserve">Chapter 02 — Analyzing the Estate</w:t>
        </w:r>
      </w:hyperlink>
      <w:r>
        <w:br/>
      </w:r>
      <w:r>
        <w:rPr>
          <w:b/>
          <w:bCs/>
        </w:rPr>
        <w:t xml:space="preserve">Next:</w:t>
      </w:r>
      <w:r>
        <w:t xml:space="preserve"> </w:t>
      </w:r>
      <w:hyperlink r:id="rId28">
        <w:r>
          <w:rPr>
            <w:rStyle w:val="Hyperlink"/>
          </w:rPr>
          <w:t xml:space="preserve">Chapter 04 — Identity Transformation</w:t>
        </w:r>
      </w:hyperlink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1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rPr>
          <w:i/>
          <w:iCs/>
        </w:rPr>
        <w:t xml:space="preserve">Use Microsoft Entra groups to manage role assignments - Microsoft Entra ID</w:t>
      </w:r>
      <w:r>
        <w:t xml:space="preserve">.</w:t>
      </w:r>
      <w:r>
        <w:t xml:space="preserve"> </w:t>
      </w:r>
      <w:hyperlink r:id="rId17">
        <w:r>
          <w:rPr>
            <w:rStyle w:val="Hyperlink"/>
          </w:rPr>
          <w:t xml:space="preserve">https://learn.microsoft.com/en-us/entra/identity/role-based-access-control/groups-concept</w:t>
        </w:r>
      </w:hyperlink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svg" /><Relationship Type="http://schemas.openxmlformats.org/officeDocument/2006/relationships/hyperlink" Id="rId27" Target="02-analyzing-the-estate.md" TargetMode="External" /><Relationship Type="http://schemas.openxmlformats.org/officeDocument/2006/relationships/hyperlink" Id="rId28" Target="04-identity-transformation.md" TargetMode="External" /><Relationship Type="http://schemas.openxmlformats.org/officeDocument/2006/relationships/hyperlink" Id="rId17" Target="https://learn.microsoft.com/en-us/entra/identity/role-based-access-control/groups-concep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02-analyzing-the-estate.md" TargetMode="External" /><Relationship Type="http://schemas.openxmlformats.org/officeDocument/2006/relationships/hyperlink" Id="rId28" Target="04-identity-transformation.md" TargetMode="External" /><Relationship Type="http://schemas.openxmlformats.org/officeDocument/2006/relationships/hyperlink" Id="rId17" Target="https://learn.microsoft.com/en-us/entra/identity/role-based-access-control/groups-concep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2026-10-19T10:09:36Z</dcterms:created>
  <dcterms:modified xsi:type="dcterms:W3CDTF">2026-10-19T10:09:36Z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