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2" w:name="Xbc5efc7fcd9253874d6d459f12f4700aa24346c"/>
    <w:p>
      <w:pPr>
        <w:pStyle w:val="Heading1"/>
      </w:pPr>
      <w:r>
        <w:t xml:space="preserve">Chapter 07 — Compute: Domain-Joined → Cloud Identity + Device Management + Hybrid Management</w:t>
      </w:r>
    </w:p>
    <w:p>
      <w:pPr>
        <w:pStyle w:val="FirstParagraph"/>
      </w:pPr>
      <w:r>
        <w:rPr>
          <w:b/>
          <w:bCs/>
        </w:rPr>
        <w:t xml:space="preserve">Device object transformation · PCs to cloud identity + device management · servers to hybrid management · service principal and Kerberos retirement</w:t>
      </w:r>
    </w:p>
    <w:p>
      <w:pPr>
        <w:pStyle w:val="BlockText"/>
      </w:pPr>
      <w:r>
        <w:rPr>
          <w:b/>
          <w:bCs/>
        </w:rPr>
        <w:t xml:space="preserve">Dependency chain:</w:t>
      </w:r>
      <w:r>
        <w:t xml:space="preserve"> </w:t>
      </w:r>
      <w:r>
        <w:t xml:space="preserve">Inventory → Plan → Identity → Policy → Network services →</w:t>
      </w:r>
      <w:r>
        <w:t xml:space="preserve"> </w:t>
      </w:r>
      <w:r>
        <w:rPr>
          <w:b/>
          <w:bCs/>
        </w:rPr>
        <w:t xml:space="preserve">Devices and servers</w:t>
      </w:r>
      <w:r>
        <w:t xml:space="preserve"> </w:t>
      </w:r>
      <w:r>
        <w:t xml:space="preserve">→ Access plane → Retire AD DS → Prove steady state</w:t>
      </w:r>
    </w:p>
    <w:bookmarkStart w:id="12" w:name="the-compute-claim"/>
    <w:p>
      <w:pPr>
        <w:pStyle w:val="Heading2"/>
      </w:pPr>
      <w:r>
        <w:t xml:space="preserve">The compute claim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Diagram" title="" id="10" name="Picture"/>
            <a:graphic>
              <a:graphicData uri="http://schemas.openxmlformats.org/drawingml/2006/picture">
                <pic:pic>
                  <pic:nvPicPr>
                    <pic:cNvPr descr="../images/cshc/compute-transformation.svg" id="1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Diagram</w:t>
      </w:r>
    </w:p>
    <w:p>
      <w:pPr>
        <w:pStyle w:val="BodyText"/>
      </w:pPr>
      <w:r>
        <w:t xml:space="preserve">Once identity (Chapter 04), policy (Chapter 05) and services (Chapter 06) have moved, domain-joined PCs and servers are the largest remaining Active Directory dependency. PCs move to Entra join and Intune. Servers move to Azure Arc and Machine Configuration. Kerberos-bound applications lose their domain-join anchor and either move to modern authentication or retire. This chapter ends when no device authenticates to Active Directory, the last precondition for retiring AD DS.</w:t>
      </w:r>
    </w:p>
    <w:bookmarkEnd w:id="12"/>
    <w:bookmarkStart w:id="15" w:name="the-device-states"/>
    <w:p>
      <w:pPr>
        <w:pStyle w:val="Heading2"/>
      </w:pPr>
      <w:r>
        <w:t xml:space="preserve">The device states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05"/>
        <w:gridCol w:w="2410"/>
        <w:gridCol w:w="2066"/>
        <w:gridCol w:w="22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State</w:t>
            </w:r>
          </w:p>
        </w:tc>
        <w:tc>
          <w:tcPr/>
          <w:p>
            <w:pPr>
              <w:pStyle w:val="Compact"/>
            </w:pPr>
            <w:r>
              <w:t xml:space="preserve">Primary auth</w:t>
            </w:r>
          </w:p>
        </w:tc>
        <w:tc>
          <w:tcPr/>
          <w:p>
            <w:pPr>
              <w:pStyle w:val="Compact"/>
            </w:pPr>
            <w:r>
              <w:t xml:space="preserve">Managed by</w:t>
            </w:r>
          </w:p>
        </w:tc>
        <w:tc>
          <w:tcPr/>
          <w:p>
            <w:pPr>
              <w:pStyle w:val="Compact"/>
            </w:pPr>
            <w:r>
              <w:t xml:space="preserve">When to use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Domain-joined</w:t>
            </w:r>
            <w:r>
              <w:t xml:space="preserve"> </w:t>
            </w:r>
            <w:r>
              <w:t xml:space="preserve">(legacy)</w:t>
            </w:r>
          </w:p>
        </w:tc>
        <w:tc>
          <w:tcPr/>
          <w:p>
            <w:pPr>
              <w:pStyle w:val="Compact"/>
            </w:pPr>
            <w:r>
              <w:t xml:space="preserve">AD Kerberos</w:t>
            </w:r>
          </w:p>
        </w:tc>
        <w:tc>
          <w:tcPr/>
          <w:p>
            <w:pPr>
              <w:pStyle w:val="Compact"/>
            </w:pPr>
            <w:r>
              <w:t xml:space="preserve">Group Policy</w:t>
            </w:r>
          </w:p>
        </w:tc>
        <w:tc>
          <w:tcPr/>
          <w:p>
            <w:pPr>
              <w:pStyle w:val="Compact"/>
            </w:pPr>
            <w:r>
              <w:t xml:space="preserve">Migration origin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Entra registered</w:t>
            </w:r>
            <w:r>
              <w:rPr>
                <w:rStyle w:val="FootnoteReference"/>
              </w:rPr>
              <w:footnoteReference w:id="13"/>
            </w:r>
          </w:p>
        </w:tc>
        <w:tc>
          <w:tcPr/>
          <w:p>
            <w:pPr>
              <w:pStyle w:val="Compact"/>
            </w:pPr>
            <w:r>
              <w:t xml:space="preserve">Personal device with a work account</w:t>
            </w:r>
          </w:p>
        </w:tc>
        <w:tc>
          <w:tcPr/>
          <w:p>
            <w:pPr>
              <w:pStyle w:val="Compact"/>
            </w:pPr>
            <w:r>
              <w:t xml:space="preserve">Intune (optional)</w:t>
            </w:r>
          </w:p>
        </w:tc>
        <w:tc>
          <w:tcPr/>
          <w:p>
            <w:pPr>
              <w:pStyle w:val="Compact"/>
            </w:pPr>
            <w:r>
              <w:t xml:space="preserve">BYOD; rare in regulated environments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Hybrid-joined</w:t>
            </w:r>
          </w:p>
        </w:tc>
        <w:tc>
          <w:tcPr/>
          <w:p>
            <w:pPr>
              <w:pStyle w:val="Compact"/>
            </w:pPr>
            <w:r>
              <w:t xml:space="preserve">AD and Entra ID together</w:t>
            </w:r>
          </w:p>
        </w:tc>
        <w:tc>
          <w:tcPr/>
          <w:p>
            <w:pPr>
              <w:pStyle w:val="Compact"/>
            </w:pPr>
            <w:r>
              <w:t xml:space="preserve">Group Policy + Intune</w:t>
            </w:r>
          </w:p>
        </w:tc>
        <w:tc>
          <w:tcPr/>
          <w:p>
            <w:pPr>
              <w:pStyle w:val="Compact"/>
            </w:pPr>
            <w:r>
              <w:t xml:space="preserve">Transition state, not a target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Entra joined</w:t>
            </w:r>
          </w:p>
        </w:tc>
        <w:tc>
          <w:tcPr/>
          <w:p>
            <w:pPr>
              <w:pStyle w:val="Compact"/>
            </w:pPr>
            <w:r>
              <w:t xml:space="preserve">Entra ID only</w:t>
            </w:r>
          </w:p>
        </w:tc>
        <w:tc>
          <w:tcPr/>
          <w:p>
            <w:pPr>
              <w:pStyle w:val="Compact"/>
            </w:pPr>
            <w:r>
              <w:t xml:space="preserve">Intune</w:t>
            </w:r>
          </w:p>
        </w:tc>
        <w:tc>
          <w:tcPr/>
          <w:p>
            <w:pPr>
              <w:pStyle w:val="Compact"/>
            </w:pPr>
            <w:r>
              <w:t xml:space="preserve">Target for user PCs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Arc-connected server</w:t>
            </w:r>
          </w:p>
        </w:tc>
        <w:tc>
          <w:tcPr/>
          <w:p>
            <w:pPr>
              <w:pStyle w:val="Compact"/>
            </w:pPr>
            <w:r>
              <w:t xml:space="preserve">Local or domain logon unchanged; system-assigned managed identity for Azure-plane operations</w:t>
            </w:r>
          </w:p>
        </w:tc>
        <w:tc>
          <w:tcPr/>
          <w:p>
            <w:pPr>
              <w:pStyle w:val="Compact"/>
            </w:pPr>
            <w:r>
              <w:t xml:space="preserve">Azure Arc + Azure Policy machine configuration</w:t>
            </w:r>
          </w:p>
        </w:tc>
        <w:tc>
          <w:tcPr/>
          <w:p>
            <w:pPr>
              <w:pStyle w:val="Compact"/>
            </w:pPr>
            <w:r>
              <w:t xml:space="preserve">Target for servers</w:t>
            </w:r>
          </w:p>
        </w:tc>
      </w:tr>
    </w:tbl>
    <w:p>
      <w:pPr>
        <w:pStyle w:val="BodyText"/>
      </w:pPr>
      <w:r>
        <w:t xml:space="preserve">Two rules follow.</w:t>
      </w:r>
      <w:r>
        <w:t xml:space="preserve"> </w:t>
      </w:r>
      <w:r>
        <w:rPr>
          <w:b/>
          <w:bCs/>
        </w:rPr>
        <w:t xml:space="preserve">Hybrid join is a transition, not a destination</w:t>
      </w:r>
      <w:r>
        <w:t xml:space="preserve">: a program that leaves devices hybrid-joined has not finished. And</w:t>
      </w:r>
      <w:r>
        <w:t xml:space="preserve"> </w:t>
      </w:r>
      <w:r>
        <w:rPr>
          <w:b/>
          <w:bCs/>
        </w:rPr>
        <w:t xml:space="preserve">the target depends on device class</w:t>
      </w:r>
      <w:r>
        <w:t xml:space="preserve">: user PCs go to Entra join and Intune; Windows and Linux servers go to Arc and Machine Configuration. The two share compliance telemetry but not a management model.</w:t>
      </w:r>
    </w:p>
    <w:p>
      <w:pPr>
        <w:pStyle w:val="BodyText"/>
      </w:pPr>
      <w:r>
        <w:t xml:space="preserve">Before a device leaves the domain, three AD dependencies need replacements, or it ships with a gap: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Identity.</w:t>
      </w:r>
      <w:r>
        <w:t xml:space="preserve"> </w:t>
      </w:r>
      <w:r>
        <w:t xml:space="preserve">The computer account authenticates with Kerberos and receives Group Policy through its OU.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Policy.</w:t>
      </w:r>
      <w:r>
        <w:t xml:space="preserve"> </w:t>
      </w:r>
      <w:r>
        <w:t xml:space="preserve">Local administrators, registry settings, software and startup scripts arrive through Group Policy.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Trust.</w:t>
      </w:r>
      <w:r>
        <w:t xml:space="preserve"> </w:t>
      </w:r>
      <w:r>
        <w:t xml:space="preserve">The certificate store trusts AD-issued CAs, smart-card logon relies on AD CS, and network access control may use AD credentials.</w:t>
      </w:r>
    </w:p>
    <w:bookmarkEnd w:id="15"/>
    <w:bookmarkStart w:id="20" w:name="three-migration-patterns-for-user-pcs"/>
    <w:p>
      <w:pPr>
        <w:pStyle w:val="Heading2"/>
      </w:pPr>
      <w:r>
        <w:t xml:space="preserve">Three migration patterns for user PCs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Greenfield.</w:t>
      </w:r>
      <w:r>
        <w:t xml:space="preserve"> </w:t>
      </w:r>
      <w:r>
        <w:t xml:space="preserve">New hardware ships from the OEM pre-registered,</w:t>
      </w:r>
      <w:r>
        <w:rPr>
          <w:rStyle w:val="FootnoteReference"/>
        </w:rPr>
        <w:footnoteReference w:id="16"/>
      </w:r>
      <w:r>
        <w:t xml:space="preserve"> </w:t>
      </w:r>
      <w:r>
        <w:t xml:space="preserve">and first boot is an Entra join. No AD dependency is ever created. Every hardware refresh should use this pattern, whatever the state of the wider program.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Reset and re-enroll.</w:t>
      </w:r>
      <w:r>
        <w:t xml:space="preserve"> </w:t>
      </w:r>
      <w:r>
        <w:t xml:space="preserve">Back up user state, reset the device, and re-enroll it as Entra joined. It is heavy for the user but technically clean, and a common choice for high-privilege users’ devices.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Hybrid, then cloud.</w:t>
      </w:r>
      <w:r>
        <w:t xml:space="preserve"> </w:t>
      </w:r>
      <w:r>
        <w:t xml:space="preserve">Where an immediate reset isn’t feasible, devices are hybrid-joined first while workloads move from Group Policy to Intune. There is no supported in-place conversion from hybrid join to Entra join, so the final step is still a reset and Autopilot re-provisioning</w:t>
      </w:r>
      <w:r>
        <w:rPr>
          <w:rStyle w:val="FootnoteReference"/>
        </w:rPr>
        <w:footnoteReference w:id="18"/>
      </w:r>
      <w:r>
        <w:t xml:space="preserve"> </w:t>
      </w:r>
      <w:r>
        <w:t xml:space="preserve">(or a third-party migration tool), timed to a refresh or scheduled window. This is the most common and slowest path; it defers the reset rather than avoiding it, and drift detection keeps devices from stalling in hybrid state.</w:t>
      </w:r>
    </w:p>
    <w:bookmarkEnd w:id="20"/>
    <w:bookmarkStart w:id="25" w:name="servers-the-arc-path"/>
    <w:p>
      <w:pPr>
        <w:pStyle w:val="Heading2"/>
      </w:pPr>
      <w:r>
        <w:t xml:space="preserve">Servers — the Arc path</w:t>
      </w:r>
    </w:p>
    <w:p>
      <w:pPr>
        <w:pStyle w:val="FirstParagraph"/>
      </w:pPr>
      <w:r>
        <w:t xml:space="preserve">Azure Arc projects an on-premises or other-cloud server into Azure as a resource. The server stays where it is physically. It gains a system-assigned managed identity for Azure-plane operations (its OS logon is unchanged), receives Azure Policy and Machine Configuration assignments, appears in security and monitoring services, and is governed like a native Azure VM. Each projected server is tagged with its organizational attributes, and policy assignments target those tags, the same pattern Intune uses for user devices.</w:t>
      </w:r>
    </w:p>
    <w:p>
      <w:pPr>
        <w:pStyle w:val="BodyText"/>
      </w:pPr>
      <w:r>
        <w:t xml:space="preserve">For each domain-joined server: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Connect to Arc.</w:t>
      </w:r>
      <w:r>
        <w:t xml:space="preserve"> </w:t>
      </w:r>
      <w:r>
        <w:t xml:space="preserve">Install the Connected Machine agent, register, and apply tags.</w:t>
      </w:r>
      <w:r>
        <w:rPr>
          <w:rStyle w:val="FootnoteReference"/>
        </w:rPr>
        <w:footnoteReference w:id="21"/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Onboard reporting.</w:t>
      </w:r>
      <w:r>
        <w:t xml:space="preserve"> </w:t>
      </w:r>
      <w:r>
        <w:t xml:space="preserve">Defender for Servers and Machine Configuration report posture.</w:t>
      </w:r>
      <w:r>
        <w:rPr>
          <w:rStyle w:val="FootnoteReference"/>
        </w:rPr>
        <w:footnoteReference w:id="23"/>
      </w:r>
      <w:r>
        <w:t xml:space="preserve"> </w:t>
      </w:r>
      <w:r>
        <w:t xml:space="preserve">(Conditional Access governs user and workload sign-ins to Entra-protected resources; it does not evaluate server compliance for server-to-server traffic.)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Assign policy.</w:t>
      </w:r>
      <w:r>
        <w:t xml:space="preserve"> </w:t>
      </w:r>
      <w:r>
        <w:t xml:space="preserve">Settings that came from Group Policy now come through Arc.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Validate.</w:t>
      </w:r>
      <w:r>
        <w:t xml:space="preserve"> </w:t>
      </w:r>
      <w:r>
        <w:t xml:space="preserve">Machine Configuration reports compliant and drift is zero.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Leave the domain</w:t>
      </w:r>
      <w:r>
        <w:t xml:space="preserve">, only once Kerberos-bound clients have moved and no local administrators are AD-anchored.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Re-validate.</w:t>
      </w:r>
      <w:r>
        <w:t xml:space="preserve"> </w:t>
      </w:r>
      <w:r>
        <w:t xml:space="preserve">The server reboots clean, the Arc heartbeat continues, and configuration re-applies without AD.</w:t>
      </w:r>
    </w:p>
    <w:p>
      <w:pPr>
        <w:pStyle w:val="FirstParagraph"/>
      </w:pPr>
      <w:r>
        <w:t xml:space="preserve">Duration depends mostly on the Kerberos-application inventory, so budget per application, not per server.</w:t>
      </w:r>
    </w:p>
    <w:bookmarkEnd w:id="25"/>
    <w:bookmarkStart w:id="28" w:name="kerberos-and-spn-retirement"/>
    <w:p>
      <w:pPr>
        <w:pStyle w:val="Heading2"/>
      </w:pPr>
      <w:r>
        <w:t xml:space="preserve">Kerberos and SPN retirement</w:t>
      </w:r>
    </w:p>
    <w:p>
      <w:pPr>
        <w:pStyle w:val="FirstParagraph"/>
      </w:pPr>
      <w:r>
        <w:t xml:space="preserve">Every service principal name in the Chapter 02 map is an application that expects Kerberos. Each needs one of three decisions: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Migrate</w:t>
      </w:r>
      <w:r>
        <w:t xml:space="preserve"> </w:t>
      </w:r>
      <w:r>
        <w:t xml:space="preserve">to OAuth 2.0 / OpenID Connect through an Entra app registration.</w:t>
      </w:r>
      <w:r>
        <w:rPr>
          <w:rStyle w:val="FootnoteReference"/>
        </w:rPr>
        <w:footnoteReference w:id="26"/>
      </w:r>
      <w:r>
        <w:t xml:space="preserve"> </w:t>
      </w:r>
      <w:r>
        <w:t xml:space="preserve">This is the preferred path.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Retire</w:t>
      </w:r>
      <w:r>
        <w:t xml:space="preserve"> </w:t>
      </w:r>
      <w:r>
        <w:t xml:space="preserve">it, often the cheapest option for end-of-life applications.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Island</w:t>
      </w:r>
      <w:r>
        <w:t xml:space="preserve"> </w:t>
      </w:r>
      <w:r>
        <w:t xml:space="preserve">it, as a last resort: a minimal AD island hosting only that application, with a documented end-of-life date.</w:t>
      </w:r>
    </w:p>
    <w:p>
      <w:pPr>
        <w:pStyle w:val="FirstParagraph"/>
      </w:pPr>
      <w:r>
        <w:t xml:space="preserve">No server leaves the domain until every SPN on it is resolved.</w:t>
      </w:r>
    </w:p>
    <w:bookmarkEnd w:id="28"/>
    <w:bookmarkStart w:id="35" w:name="devices-attributes-and-certificates"/>
    <w:p>
      <w:pPr>
        <w:pStyle w:val="Heading2"/>
      </w:pPr>
      <w:r>
        <w:t xml:space="preserve">Devices, attributes and certificates</w:t>
      </w:r>
    </w:p>
    <w:p>
      <w:pPr>
        <w:pStyle w:val="FirstParagraph"/>
      </w:pPr>
      <w:r>
        <w:t xml:space="preserve">Devices carry organizational attributes, typically device extension attributes set through Microsoft Graph</w:t>
      </w:r>
      <w:r>
        <w:rPr>
          <w:rStyle w:val="FootnoteReference"/>
        </w:rPr>
        <w:footnoteReference w:id="29"/>
      </w:r>
      <w:r>
        <w:t xml:space="preserve"> </w:t>
      </w:r>
      <w:r>
        <w:t xml:space="preserve">or rules on properties such as the enrollment profile. Those attributes drive device dynamic groups, Intune compliance scoping and Conditional Access device-state targeting. A device whose attributes disagree with its owner’s is value drift.</w:t>
      </w:r>
    </w:p>
    <w:p>
      <w:pPr>
        <w:pStyle w:val="BodyText"/>
      </w:pPr>
      <w:r>
        <w:t xml:space="preserve">When domain-joined PCs go, AD CS-anchored smart-card logon goes with them. Entra certificate-based authentication replaces it: Windows smart-card sign-in to Entra-joined devices keeps working,</w:t>
      </w:r>
      <w:r>
        <w:rPr>
          <w:rStyle w:val="FootnoteReference"/>
        </w:rPr>
        <w:footnoteReference w:id="31"/>
      </w:r>
      <w:r>
        <w:t xml:space="preserve"> </w:t>
      </w:r>
      <w:r>
        <w:t xml:space="preserve">with the chain ending in Entra ID. It needs a reader and a valid user certificate with a configured binding (Chapter 08). Access from Entra-joined devices to remaining on-premises Kerberos resources still depends on AD until those resources retire.</w:t>
      </w:r>
      <w:r>
        <w:rPr>
          <w:rStyle w:val="FootnoteReference"/>
        </w:rPr>
        <w:footnoteReference w:id="33"/>
      </w:r>
    </w:p>
    <w:bookmarkEnd w:id="35"/>
    <w:bookmarkStart w:id="36" w:name="lifecycle-after-the-move"/>
    <w:p>
      <w:pPr>
        <w:pStyle w:val="Heading2"/>
      </w:pPr>
      <w:r>
        <w:t xml:space="preserve">Lifecycle after the move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Joiner.</w:t>
      </w:r>
      <w:r>
        <w:t xml:space="preserve"> </w:t>
      </w:r>
      <w:r>
        <w:t xml:space="preserve">The device ships from the OEM, the user signs in with Entra ID, compliance enrollment and Conditional Access apply, apps install from Intune, and encryption keys are escrowed.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Mover.</w:t>
      </w:r>
      <w:r>
        <w:t xml:space="preserve"> </w:t>
      </w:r>
      <w:r>
        <w:t xml:space="preserve">Attribute changes recompute device groups and Intune re-applies policy.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Leaver.</w:t>
      </w:r>
      <w:r>
        <w:t xml:space="preserve"> </w:t>
      </w:r>
      <w:r>
        <w:t xml:space="preserve">The device is retired (and its Entra object deleted) or reset for its next user.</w:t>
      </w:r>
    </w:p>
    <w:p>
      <w:pPr>
        <w:pStyle w:val="FirstParagraph"/>
      </w:pPr>
      <w:r>
        <w:t xml:space="preserve">There are no OU moves, domain unjoins, GPO re-links or AD cleanup. Device lifecycle becomes policy, not infrastructure.</w:t>
      </w:r>
    </w:p>
    <w:bookmarkEnd w:id="36"/>
    <w:bookmarkStart w:id="37" w:name="validation"/>
    <w:p>
      <w:pPr>
        <w:pStyle w:val="Heading2"/>
      </w:pPr>
      <w:r>
        <w:t xml:space="preserve">Validation</w:t>
      </w:r>
    </w:p>
    <w:p>
      <w:pPr>
        <w:pStyle w:val="FirstParagraph"/>
      </w:pPr>
      <w:r>
        <w:t xml:space="preserve">Compute migration passes when:</w:t>
      </w:r>
    </w:p>
    <w:p>
      <w:pPr>
        <w:pStyle w:val="Compact"/>
        <w:numPr>
          <w:ilvl w:val="0"/>
          <w:numId w:val="1006"/>
        </w:numPr>
      </w:pPr>
      <w:r>
        <w:t xml:space="preserve">every user PC is Entra joined, and every server is Arc-connected or exempt with a retirement date;</w:t>
      </w:r>
    </w:p>
    <w:p>
      <w:pPr>
        <w:pStyle w:val="Compact"/>
        <w:numPr>
          <w:ilvl w:val="0"/>
          <w:numId w:val="1006"/>
        </w:numPr>
      </w:pPr>
      <w:r>
        <w:t xml:space="preserve">every device has valid attributes, and Intune and Azure Policy assignments target attribute-scoped groups or tags;</w:t>
      </w:r>
    </w:p>
    <w:p>
      <w:pPr>
        <w:pStyle w:val="Compact"/>
        <w:numPr>
          <w:ilvl w:val="0"/>
          <w:numId w:val="1006"/>
        </w:numPr>
      </w:pPr>
      <w:r>
        <w:t xml:space="preserve">every SPN in the legacy map is migrated, retired or islanded with an end-of-life date.</w:t>
      </w:r>
    </w:p>
    <w:p>
      <w:pPr>
        <w:pStyle w:val="FirstParagraph"/>
      </w:pPr>
      <w:r>
        <w:t xml:space="preserve">When every device, application, DNS zone, DHCP scope, SPN and GPO has moved, AD DS has no active consumers. The retirement itself is mechanical (Chapter 09); the hard part is Chapters 04–07.</w:t>
      </w:r>
    </w:p>
    <w:bookmarkEnd w:id="37"/>
    <w:bookmarkStart w:id="38" w:name="key-takeaways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07"/>
        </w:numPr>
      </w:pPr>
      <w:r>
        <w:t xml:space="preserve">User PCs end Entra joined; reaching that from hybrid join requires a reset or re-provisioning.</w:t>
      </w:r>
    </w:p>
    <w:p>
      <w:pPr>
        <w:pStyle w:val="Compact"/>
        <w:numPr>
          <w:ilvl w:val="0"/>
          <w:numId w:val="1007"/>
        </w:numPr>
      </w:pPr>
      <w:r>
        <w:t xml:space="preserve">Servers are Arc-connected for governance; their operating-system logon is a separate dependency.</w:t>
      </w:r>
    </w:p>
    <w:p>
      <w:pPr>
        <w:pStyle w:val="Compact"/>
        <w:numPr>
          <w:ilvl w:val="0"/>
          <w:numId w:val="1007"/>
        </w:numPr>
      </w:pPr>
      <w:r>
        <w:t xml:space="preserve">No server leaves the domain until every SPN on it is migrated, retired, or islanded.</w:t>
      </w:r>
    </w:p>
    <w:bookmarkEnd w:id="38"/>
    <w:bookmarkStart w:id="41" w:name="authoritative-references"/>
    <w:p>
      <w:pPr>
        <w:pStyle w:val="Heading2"/>
      </w:pPr>
      <w:r>
        <w:t xml:space="preserve">Authoritative references</w:t>
      </w:r>
    </w:p>
    <w:p>
      <w:pPr>
        <w:pStyle w:val="Compact"/>
        <w:numPr>
          <w:ilvl w:val="0"/>
          <w:numId w:val="1008"/>
        </w:numPr>
      </w:pPr>
      <w:r>
        <w:t xml:space="preserve">Microsoft Learn,</w:t>
      </w:r>
      <w:r>
        <w:t xml:space="preserve"> </w:t>
      </w:r>
      <w:hyperlink r:id="rId14">
        <w:r>
          <w:rPr>
            <w:rStyle w:val="Hyperlink"/>
          </w:rPr>
          <w:t xml:space="preserve">What is device identity in Microsoft Entra ID? - Microsoft Entra ID</w:t>
        </w:r>
      </w:hyperlink>
    </w:p>
    <w:p>
      <w:pPr>
        <w:pStyle w:val="Compact"/>
        <w:numPr>
          <w:ilvl w:val="0"/>
          <w:numId w:val="1008"/>
        </w:numPr>
      </w:pPr>
      <w:r>
        <w:t xml:space="preserve">Microsoft Learn,</w:t>
      </w:r>
      <w:r>
        <w:t xml:space="preserve"> </w:t>
      </w:r>
      <w:hyperlink r:id="rId19">
        <w:r>
          <w:rPr>
            <w:rStyle w:val="Hyperlink"/>
          </w:rPr>
          <w:t xml:space="preserve">Windows Autopilot scenarios</w:t>
        </w:r>
      </w:hyperlink>
    </w:p>
    <w:p>
      <w:pPr>
        <w:pStyle w:val="Compact"/>
        <w:numPr>
          <w:ilvl w:val="0"/>
          <w:numId w:val="1008"/>
        </w:numPr>
      </w:pPr>
      <w:r>
        <w:t xml:space="preserve">Microsoft Learn,</w:t>
      </w:r>
      <w:r>
        <w:t xml:space="preserve"> </w:t>
      </w:r>
      <w:hyperlink r:id="rId17">
        <w:r>
          <w:rPr>
            <w:rStyle w:val="Hyperlink"/>
          </w:rPr>
          <w:t xml:space="preserve">Overview of Windows Autopilot</w:t>
        </w:r>
      </w:hyperlink>
    </w:p>
    <w:p>
      <w:pPr>
        <w:pStyle w:val="Compact"/>
        <w:numPr>
          <w:ilvl w:val="0"/>
          <w:numId w:val="1008"/>
        </w:numPr>
      </w:pPr>
      <w:r>
        <w:t xml:space="preserve">Microsoft Learn,</w:t>
      </w:r>
      <w:r>
        <w:t xml:space="preserve"> </w:t>
      </w:r>
      <w:hyperlink r:id="rId22">
        <w:r>
          <w:rPr>
            <w:rStyle w:val="Hyperlink"/>
          </w:rPr>
          <w:t xml:space="preserve">Azure Arc-enabled servers Overview - Azure Arc</w:t>
        </w:r>
      </w:hyperlink>
    </w:p>
    <w:p>
      <w:pPr>
        <w:pStyle w:val="Compact"/>
        <w:numPr>
          <w:ilvl w:val="0"/>
          <w:numId w:val="1008"/>
        </w:numPr>
      </w:pPr>
      <w:r>
        <w:t xml:space="preserve">Microsoft Learn,</w:t>
      </w:r>
      <w:r>
        <w:t xml:space="preserve"> </w:t>
      </w:r>
      <w:hyperlink r:id="rId24">
        <w:r>
          <w:rPr>
            <w:rStyle w:val="Hyperlink"/>
          </w:rPr>
          <w:t xml:space="preserve">Connect on-premises machines - Microsoft Defender for Cloud</w:t>
        </w:r>
      </w:hyperlink>
    </w:p>
    <w:p>
      <w:pPr>
        <w:pStyle w:val="Compact"/>
        <w:numPr>
          <w:ilvl w:val="0"/>
          <w:numId w:val="1008"/>
        </w:numPr>
      </w:pPr>
      <w:r>
        <w:t xml:space="preserve">Microsoft Learn,</w:t>
      </w:r>
      <w:r>
        <w:t xml:space="preserve"> </w:t>
      </w:r>
      <w:hyperlink r:id="rId32">
        <w:r>
          <w:rPr>
            <w:rStyle w:val="Hyperlink"/>
          </w:rPr>
          <w:t xml:space="preserve">Windows smart card sign-in using Microsoft Entra certificate-based authentication - Microsoft Entra ID</w:t>
        </w:r>
      </w:hyperlink>
    </w:p>
    <w:p>
      <w:pPr>
        <w:pStyle w:val="Compact"/>
        <w:numPr>
          <w:ilvl w:val="0"/>
          <w:numId w:val="1008"/>
        </w:numPr>
      </w:pPr>
      <w:r>
        <w:t xml:space="preserve">Microsoft Learn,</w:t>
      </w:r>
      <w:r>
        <w:t xml:space="preserve"> </w:t>
      </w:r>
      <w:hyperlink r:id="rId34">
        <w:r>
          <w:rPr>
            <w:rStyle w:val="Hyperlink"/>
          </w:rPr>
          <w:t xml:space="preserve">How SSO to on-premises resources works on Microsoft Entra joined devices - Microsoft Entra ID</w:t>
        </w:r>
      </w:hyperlink>
    </w:p>
    <w:p>
      <w:pPr>
        <w:pStyle w:val="Compact"/>
        <w:numPr>
          <w:ilvl w:val="0"/>
          <w:numId w:val="1008"/>
        </w:numPr>
      </w:pPr>
      <w:r>
        <w:t xml:space="preserve">Microsoft Learn,</w:t>
      </w:r>
      <w:r>
        <w:t xml:space="preserve"> </w:t>
      </w:r>
      <w:hyperlink r:id="rId30">
        <w:r>
          <w:rPr>
            <w:rStyle w:val="Hyperlink"/>
          </w:rPr>
          <w:t xml:space="preserve">Manage rules for dynamic membership groups in Microsoft Entra ID - Microsoft Entra ID</w:t>
        </w:r>
      </w:hyperlink>
    </w:p>
    <w:p>
      <w:pPr>
        <w:pStyle w:val="Compact"/>
        <w:numPr>
          <w:ilvl w:val="0"/>
          <w:numId w:val="1008"/>
        </w:numPr>
      </w:pPr>
      <w:r>
        <w:t xml:space="preserve">Microsoft Learn,</w:t>
      </w:r>
      <w:r>
        <w:t xml:space="preserve"> </w:t>
      </w:r>
      <w:hyperlink r:id="rId27">
        <w:r>
          <w:rPr>
            <w:rStyle w:val="Hyperlink"/>
          </w:rPr>
          <w:t xml:space="preserve">Publish on-premises apps with Microsoft Entra application proxy - Microsoft Entra ID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Previous:</w:t>
      </w:r>
      <w:r>
        <w:t xml:space="preserve"> </w:t>
      </w:r>
      <w:hyperlink r:id="rId39">
        <w:r>
          <w:rPr>
            <w:rStyle w:val="Hyperlink"/>
          </w:rPr>
          <w:t xml:space="preserve">Chapter 06 — Network Services</w:t>
        </w:r>
      </w:hyperlink>
      <w:r>
        <w:br/>
      </w:r>
      <w:r>
        <w:rPr>
          <w:b/>
          <w:bCs/>
        </w:rPr>
        <w:t xml:space="preserve">Next:</w:t>
      </w:r>
      <w:r>
        <w:t xml:space="preserve"> </w:t>
      </w:r>
      <w:hyperlink r:id="rId40">
        <w:r>
          <w:rPr>
            <w:rStyle w:val="Hyperlink"/>
          </w:rPr>
          <w:t xml:space="preserve">Chapter 08 — Access Plane</w:t>
        </w:r>
      </w:hyperlink>
    </w:p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What is device identity in Microsoft Entra ID? - Microsoft Entra ID</w:t>
      </w:r>
      <w:r>
        <w:t xml:space="preserve">.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https://learn.microsoft.com/en-us/entra/identity/devices/overview</w:t>
        </w:r>
      </w:hyperlink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Overview of Windows Autopilot</w:t>
      </w:r>
      <w:r>
        <w:t xml:space="preserve">.</w:t>
      </w:r>
      <w:r>
        <w:t xml:space="preserve"> </w:t>
      </w:r>
      <w:hyperlink r:id="rId17">
        <w:r>
          <w:rPr>
            <w:rStyle w:val="Hyperlink"/>
          </w:rPr>
          <w:t xml:space="preserve">https://learn.microsoft.com/en-us/autopilot/overview</w:t>
        </w:r>
      </w:hyperlink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Windows Autopilot scenarios</w:t>
      </w:r>
      <w:r>
        <w:t xml:space="preserve">. Autopilot for existing devices is the listed method for converting hybrid-joined devices to Entra join; it reinstalls Windows.</w:t>
      </w:r>
      <w:r>
        <w:t xml:space="preserve"> </w:t>
      </w:r>
      <w:hyperlink r:id="rId19">
        <w:r>
          <w:rPr>
            <w:rStyle w:val="Hyperlink"/>
          </w:rPr>
          <w:t xml:space="preserve">https://learn.microsoft.com/en-us/autopilot/tutorial/autopilot-scenarios</w:t>
        </w:r>
      </w:hyperlink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Azure Arc-enabled servers Overview - Azure Arc</w:t>
      </w:r>
      <w:r>
        <w:t xml:space="preserve">.</w:t>
      </w:r>
      <w:r>
        <w:t xml:space="preserve"> </w:t>
      </w:r>
      <w:hyperlink r:id="rId22">
        <w:r>
          <w:rPr>
            <w:rStyle w:val="Hyperlink"/>
          </w:rPr>
          <w:t xml:space="preserve">https://learn.microsoft.com/en-us/azure/azure-arc/servers/overview</w:t>
        </w:r>
      </w:hyperlink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Connect on-premises machines - Microsoft Defender for Cloud</w:t>
      </w:r>
      <w:r>
        <w:t xml:space="preserve">.</w:t>
      </w:r>
      <w:r>
        <w:t xml:space="preserve"> </w:t>
      </w:r>
      <w:hyperlink r:id="rId24">
        <w:r>
          <w:rPr>
            <w:rStyle w:val="Hyperlink"/>
          </w:rPr>
          <w:t xml:space="preserve">https://learn.microsoft.com/en-us/azure/defender-for-cloud/quickstart-onboard-machines</w:t>
        </w:r>
      </w:hyperlink>
    </w:p>
  </w:footnote>
  <w:footnote w:id="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Publish on-premises apps with Microsoft Entra application proxy - Microsoft Entra ID</w:t>
      </w:r>
      <w:r>
        <w:t xml:space="preserve">. For web applications that cannot be rewritten, Entra application proxy can publish them with Entra pre-authentication and Kerberos constrained delegation to the back end.</w:t>
      </w:r>
      <w:r>
        <w:t xml:space="preserve"> </w:t>
      </w:r>
      <w:hyperlink r:id="rId27">
        <w:r>
          <w:rPr>
            <w:rStyle w:val="Hyperlink"/>
          </w:rPr>
          <w:t xml:space="preserve">https://learn.microsoft.com/en-us/entra/identity/app-proxy/overview-what-is-app-proxy</w:t>
        </w:r>
      </w:hyperlink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Manage rules for dynamic membership groups in Microsoft Entra ID - Microsoft Entra ID</w:t>
      </w:r>
      <w:r>
        <w:t xml:space="preserve">.</w:t>
      </w:r>
      <w:r>
        <w:t xml:space="preserve"> </w:t>
      </w:r>
      <w:hyperlink r:id="rId30">
        <w:r>
          <w:rPr>
            <w:rStyle w:val="Hyperlink"/>
          </w:rPr>
          <w:t xml:space="preserve">https://learn.microsoft.com/en-us/entra/identity/users/groups-dynamic-membership</w:t>
        </w:r>
      </w:hyperlink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Windows smart card sign-in using Microsoft Entra certificate-based authentication - Microsoft Entra ID</w:t>
      </w:r>
      <w:r>
        <w:t xml:space="preserve">.</w:t>
      </w:r>
      <w:r>
        <w:t xml:space="preserve"> </w:t>
      </w:r>
      <w:hyperlink r:id="rId32">
        <w:r>
          <w:rPr>
            <w:rStyle w:val="Hyperlink"/>
          </w:rPr>
          <w:t xml:space="preserve">https://learn.microsoft.com/en-us/entra/identity/authentication/concept-certificate-based-authentication-smartcard</w:t>
        </w:r>
      </w:hyperlink>
    </w:p>
  </w:footnote>
  <w:footnote w:id="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How SSO to on-premises resources works on Microsoft Entra joined devices - Microsoft Entra ID</w:t>
      </w:r>
      <w:r>
        <w:t xml:space="preserve">.</w:t>
      </w:r>
      <w:r>
        <w:t xml:space="preserve"> </w:t>
      </w:r>
      <w:hyperlink r:id="rId34">
        <w:r>
          <w:rPr>
            <w:rStyle w:val="Hyperlink"/>
          </w:rPr>
          <w:t xml:space="preserve">https://learn.microsoft.com/en-us/entra/identity/devices/device-sso-to-on-premises-resources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svg" /><Relationship Type="http://schemas.openxmlformats.org/officeDocument/2006/relationships/hyperlink" Id="rId39" Target="06-network-services.md" TargetMode="External" /><Relationship Type="http://schemas.openxmlformats.org/officeDocument/2006/relationships/hyperlink" Id="rId40" Target="08-access-plane.md" TargetMode="External" /><Relationship Type="http://schemas.openxmlformats.org/officeDocument/2006/relationships/hyperlink" Id="rId17" Target="https://learn.microsoft.com/en-us/autopilot/overview" TargetMode="External" /><Relationship Type="http://schemas.openxmlformats.org/officeDocument/2006/relationships/hyperlink" Id="rId19" Target="https://learn.microsoft.com/en-us/autopilot/tutorial/autopilot-scenarios" TargetMode="External" /><Relationship Type="http://schemas.openxmlformats.org/officeDocument/2006/relationships/hyperlink" Id="rId22" Target="https://learn.microsoft.com/en-us/azure/azure-arc/servers/overview" TargetMode="External" /><Relationship Type="http://schemas.openxmlformats.org/officeDocument/2006/relationships/hyperlink" Id="rId24" Target="https://learn.microsoft.com/en-us/azure/defender-for-cloud/quickstart-onboard-machines" TargetMode="External" /><Relationship Type="http://schemas.openxmlformats.org/officeDocument/2006/relationships/hyperlink" Id="rId27" Target="https://learn.microsoft.com/en-us/entra/identity/app-proxy/overview-what-is-app-proxy" TargetMode="External" /><Relationship Type="http://schemas.openxmlformats.org/officeDocument/2006/relationships/hyperlink" Id="rId32" Target="https://learn.microsoft.com/en-us/entra/identity/authentication/concept-certificate-based-authentication-smartcard" TargetMode="External" /><Relationship Type="http://schemas.openxmlformats.org/officeDocument/2006/relationships/hyperlink" Id="rId34" Target="https://learn.microsoft.com/en-us/entra/identity/devices/device-sso-to-on-premises-resources" TargetMode="External" /><Relationship Type="http://schemas.openxmlformats.org/officeDocument/2006/relationships/hyperlink" Id="rId14" Target="https://learn.microsoft.com/en-us/entra/identity/devices/overview" TargetMode="External" /><Relationship Type="http://schemas.openxmlformats.org/officeDocument/2006/relationships/hyperlink" Id="rId30" Target="https://learn.microsoft.com/en-us/entra/identity/users/groups-dynamic-membersh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06-network-services.md" TargetMode="External" /><Relationship Type="http://schemas.openxmlformats.org/officeDocument/2006/relationships/hyperlink" Id="rId40" Target="08-access-plane.md" TargetMode="External" /><Relationship Type="http://schemas.openxmlformats.org/officeDocument/2006/relationships/hyperlink" Id="rId17" Target="https://learn.microsoft.com/en-us/autopilot/overview" TargetMode="External" /><Relationship Type="http://schemas.openxmlformats.org/officeDocument/2006/relationships/hyperlink" Id="rId19" Target="https://learn.microsoft.com/en-us/autopilot/tutorial/autopilot-scenarios" TargetMode="External" /><Relationship Type="http://schemas.openxmlformats.org/officeDocument/2006/relationships/hyperlink" Id="rId22" Target="https://learn.microsoft.com/en-us/azure/azure-arc/servers/overview" TargetMode="External" /><Relationship Type="http://schemas.openxmlformats.org/officeDocument/2006/relationships/hyperlink" Id="rId24" Target="https://learn.microsoft.com/en-us/azure/defender-for-cloud/quickstart-onboard-machines" TargetMode="External" /><Relationship Type="http://schemas.openxmlformats.org/officeDocument/2006/relationships/hyperlink" Id="rId27" Target="https://learn.microsoft.com/en-us/entra/identity/app-proxy/overview-what-is-app-proxy" TargetMode="External" /><Relationship Type="http://schemas.openxmlformats.org/officeDocument/2006/relationships/hyperlink" Id="rId32" Target="https://learn.microsoft.com/en-us/entra/identity/authentication/concept-certificate-based-authentication-smartcard" TargetMode="External" /><Relationship Type="http://schemas.openxmlformats.org/officeDocument/2006/relationships/hyperlink" Id="rId34" Target="https://learn.microsoft.com/en-us/entra/identity/devices/device-sso-to-on-premises-resources" TargetMode="External" /><Relationship Type="http://schemas.openxmlformats.org/officeDocument/2006/relationships/hyperlink" Id="rId14" Target="https://learn.microsoft.com/en-us/entra/identity/devices/overview" TargetMode="External" /><Relationship Type="http://schemas.openxmlformats.org/officeDocument/2006/relationships/hyperlink" Id="rId30" Target="https://learn.microsoft.com/en-us/entra/identity/users/groups-dynamic-membersh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2026-10-19T10:09:38Z</dcterms:created>
  <dcterms:modified xsi:type="dcterms:W3CDTF">2026-10-19T10:09:38Z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