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svg" ContentType="image/svg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61" w:name="Xdac8a7e11fa62a99021d6a401f0d063b797edfd"/>
    <w:p>
      <w:pPr>
        <w:pStyle w:val="Heading1"/>
      </w:pPr>
      <w:r>
        <w:t xml:space="preserve">Chapter 08 — Access Plane: SASE, Zero Trust, MFA, Certificate-Based Auth</w:t>
      </w:r>
    </w:p>
    <w:p>
      <w:pPr>
        <w:pStyle w:val="FirstParagraph"/>
      </w:pPr>
      <w:r>
        <w:rPr>
          <w:b/>
          <w:bCs/>
        </w:rPr>
        <w:t xml:space="preserve">The identity-bound access plane that replaces the Active Directory network perimeter</w:t>
      </w:r>
    </w:p>
    <w:p>
      <w:pPr>
        <w:pStyle w:val="BlockText"/>
      </w:pPr>
      <w:r>
        <w:rPr>
          <w:b/>
          <w:bCs/>
        </w:rPr>
        <w:t xml:space="preserve">Dependency chain:</w:t>
      </w:r>
      <w:r>
        <w:t xml:space="preserve"> </w:t>
      </w:r>
      <w:r>
        <w:t xml:space="preserve">Inventory → Plan → Identity → Policy → Network services → Devices and servers →</w:t>
      </w:r>
      <w:r>
        <w:t xml:space="preserve"> </w:t>
      </w:r>
      <w:r>
        <w:rPr>
          <w:b/>
          <w:bCs/>
        </w:rPr>
        <w:t xml:space="preserve">Access plane</w:t>
      </w:r>
      <w:r>
        <w:t xml:space="preserve"> </w:t>
      </w:r>
      <w:r>
        <w:t xml:space="preserve">→ Retire AD DS → Prove steady state</w:t>
      </w:r>
    </w:p>
    <w:bookmarkStart w:id="12" w:name="the-access-claim"/>
    <w:p>
      <w:pPr>
        <w:pStyle w:val="Heading2"/>
      </w:pPr>
      <w:r>
        <w:t xml:space="preserve">The access claim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Diagram" title="" id="10" name="Picture"/>
            <a:graphic>
              <a:graphicData uri="http://schemas.openxmlformats.org/drawingml/2006/picture">
                <pic:pic>
                  <pic:nvPicPr>
                    <pic:cNvPr descr="../images/cshc/access-plane.svg" id="11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Diagram</w:t>
      </w:r>
    </w:p>
    <w:p>
      <w:pPr>
        <w:pStyle w:val="BodyText"/>
      </w:pPr>
      <w:r>
        <w:t xml:space="preserve">Retiring Active Directory removes the network perimeter as an authorization boundary. Its replacement is an</w:t>
      </w:r>
      <w:r>
        <w:t xml:space="preserve"> </w:t>
      </w:r>
      <w:r>
        <w:rPr>
          <w:b/>
          <w:bCs/>
        </w:rPr>
        <w:t xml:space="preserve">identity-bound access plane</w:t>
      </w:r>
      <w:r>
        <w:t xml:space="preserve"> </w:t>
      </w:r>
      <w:r>
        <w:t xml:space="preserve">with four coordinated surfaces:</w:t>
      </w:r>
      <w:r>
        <w:t xml:space="preserve"> </w:t>
      </w:r>
      <w:r>
        <w:rPr>
          <w:b/>
          <w:bCs/>
        </w:rPr>
        <w:t xml:space="preserve">Zero Trust</w:t>
      </w:r>
      <w:r>
        <w:t xml:space="preserve"> </w:t>
      </w:r>
      <w:r>
        <w:t xml:space="preserve">(the architectural model),</w:t>
      </w:r>
      <w:r>
        <w:t xml:space="preserve"> </w:t>
      </w:r>
      <w:r>
        <w:rPr>
          <w:b/>
          <w:bCs/>
        </w:rPr>
        <w:t xml:space="preserve">Conditional Access</w:t>
      </w:r>
      <w:r>
        <w:t xml:space="preserve"> </w:t>
      </w:r>
      <w:r>
        <w:t xml:space="preserve">(policy enforcement, Chapter 05),</w:t>
      </w:r>
      <w:r>
        <w:t xml:space="preserve"> </w:t>
      </w:r>
      <w:r>
        <w:rPr>
          <w:b/>
          <w:bCs/>
        </w:rPr>
        <w:t xml:space="preserve">SASE</w:t>
      </w:r>
      <w:r>
        <w:t xml:space="preserve"> </w:t>
      </w:r>
      <w:r>
        <w:t xml:space="preserve">(edge delivery), and</w:t>
      </w:r>
      <w:r>
        <w:t xml:space="preserve"> </w:t>
      </w:r>
      <w:r>
        <w:rPr>
          <w:b/>
          <w:bCs/>
        </w:rPr>
        <w:t xml:space="preserve">phishing-resistant MFA with certificate-based authentication</w:t>
      </w:r>
      <w:r>
        <w:t xml:space="preserve"> </w:t>
      </w:r>
      <w:r>
        <w:t xml:space="preserve">(proof of identity). Every access decision becomes a per-request evaluation of identity, device and signal, made at the cloud edge, logged, and visible to the drift engine.</w:t>
      </w:r>
    </w:p>
    <w:bookmarkEnd w:id="12"/>
    <w:bookmarkStart w:id="21" w:name="the-model-zero-trust"/>
    <w:p>
      <w:pPr>
        <w:pStyle w:val="Heading2"/>
      </w:pPr>
      <w:r>
        <w:t xml:space="preserve">The model — Zero Trust</w:t>
      </w:r>
    </w:p>
    <w:p>
      <w:pPr>
        <w:pStyle w:val="FirstParagraph"/>
      </w:pPr>
      <w:r>
        <w:t xml:space="preserve">Zero Trust is a set of architectural principles,</w:t>
      </w:r>
      <w:r>
        <w:rPr>
          <w:rStyle w:val="FootnoteReference"/>
        </w:rPr>
        <w:footnoteReference w:id="13"/>
      </w:r>
      <w:r>
        <w:t xml:space="preserve"> </w:t>
      </w:r>
      <w:r>
        <w:t xml:space="preserve">not a product: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Verify explicitly.</w:t>
      </w:r>
      <w:r>
        <w:t xml:space="preserve"> </w:t>
      </w:r>
      <w:r>
        <w:t xml:space="preserve">Identity, device posture, risk and session state are evaluated per request; being inside the network confers no trust.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Use least-privilege access.</w:t>
      </w:r>
      <w:r>
        <w:t xml:space="preserve"> </w:t>
      </w:r>
      <w:r>
        <w:t xml:space="preserve">Access is time-bound and scoped to resource and purpose, with no standing privilege.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Assume breach.</w:t>
      </w:r>
      <w:r>
        <w:rPr>
          <w:rStyle w:val="FootnoteReference"/>
        </w:rPr>
        <w:footnoteReference w:id="15"/>
      </w:r>
      <w:r>
        <w:t xml:space="preserve"> </w:t>
      </w:r>
      <w:r>
        <w:t xml:space="preserve">Treat every session as potentially compromised; continuous access evaluation can revoke it mid-flight, and break-glass exclusions stay minimal and audited.</w:t>
      </w:r>
    </w:p>
    <w:p>
      <w:pPr>
        <w:pStyle w:val="FirstParagraph"/>
      </w:pPr>
      <w:r>
        <w:t xml:space="preserve">No single control is Zero Trust. The pattern is Conditional Access, Intune compliance, privileged identity management and certificate-based authentication working together. Three AD-era patterns retire with it: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Network segment as authority.</w:t>
      </w:r>
      <w:r>
        <w:t xml:space="preserve"> </w:t>
      </w:r>
      <w:r>
        <w:t xml:space="preserve">IP allowlists stop being authoritative; policy is per identity, device and session.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Pass-through AD Kerberos.</w:t>
      </w:r>
      <w:r>
        <w:t xml:space="preserve"> </w:t>
      </w:r>
      <w:r>
        <w:t xml:space="preserve">Modernized services accept short-lived cloud tokens instead of domain-controller tickets. Services on a documented Kerberos island keep Kerberos until they retire.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Persistent administrative rights.</w:t>
      </w:r>
      <w:r>
        <w:t xml:space="preserve"> </w:t>
      </w:r>
      <w:r>
        <w:t xml:space="preserve">Domain Admins, local administrator groups and never-expiring service accounts move to just-in-time elevation, group managed service accounts on remaining Kerberos islands,</w:t>
      </w:r>
      <w:r>
        <w:rPr>
          <w:rStyle w:val="FootnoteReference"/>
        </w:rPr>
        <w:footnoteReference w:id="17"/>
      </w:r>
      <w:r>
        <w:t xml:space="preserve"> </w:t>
      </w:r>
      <w:r>
        <w:t xml:space="preserve">or workload identity federation for cloud workloads.</w:t>
      </w:r>
      <w:r>
        <w:rPr>
          <w:rStyle w:val="FootnoteReference"/>
        </w:rPr>
        <w:footnoteReference w:id="19"/>
      </w:r>
    </w:p>
    <w:bookmarkEnd w:id="21"/>
    <w:bookmarkStart w:id="24" w:name="sase-the-edge-delivery-surface"/>
    <w:p>
      <w:pPr>
        <w:pStyle w:val="Heading2"/>
      </w:pPr>
      <w:r>
        <w:t xml:space="preserve">SASE — the edge delivery surface</w:t>
      </w:r>
    </w:p>
    <w:p>
      <w:pPr>
        <w:pStyle w:val="FirstParagraph"/>
      </w:pPr>
      <w:r>
        <w:t xml:space="preserve">Secure Access Service Edge (SASE) is the cloud-delivered security surface</w:t>
      </w:r>
      <w:r>
        <w:rPr>
          <w:rStyle w:val="FootnoteReference"/>
        </w:rPr>
        <w:footnoteReference w:id="22"/>
      </w:r>
      <w:r>
        <w:t xml:space="preserve"> </w:t>
      </w:r>
      <w:r>
        <w:t xml:space="preserve">that replaces the on-premises firewall, VPN, proxy and CASB stack. The framework does not pick a vendor; it governs the integration contract.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62"/>
        <w:gridCol w:w="2329"/>
        <w:gridCol w:w="302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Component</w:t>
            </w:r>
          </w:p>
        </w:tc>
        <w:tc>
          <w:tcPr/>
          <w:p>
            <w:pPr>
              <w:pStyle w:val="Compact"/>
            </w:pPr>
            <w:r>
              <w:t xml:space="preserve">Function</w:t>
            </w:r>
          </w:p>
        </w:tc>
        <w:tc>
          <w:tcPr/>
          <w:p>
            <w:pPr>
              <w:pStyle w:val="Compact"/>
            </w:pPr>
            <w:r>
              <w:t xml:space="preserve">Integration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Zero Trust Network Access</w:t>
            </w:r>
          </w:p>
        </w:tc>
        <w:tc>
          <w:tcPr/>
          <w:p>
            <w:pPr>
              <w:pStyle w:val="Compact"/>
            </w:pPr>
            <w:r>
              <w:t xml:space="preserve">Per-application access; replaces VPN</w:t>
            </w:r>
          </w:p>
        </w:tc>
        <w:tc>
          <w:tcPr/>
          <w:p>
            <w:pPr>
              <w:pStyle w:val="Compact"/>
            </w:pPr>
            <w:r>
              <w:t xml:space="preserve">Attribute-scoped application groups; Conditional Access enforces compliance and MFA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Secure Web Gateway</w:t>
            </w:r>
          </w:p>
        </w:tc>
        <w:tc>
          <w:tcPr/>
          <w:p>
            <w:pPr>
              <w:pStyle w:val="Compact"/>
            </w:pPr>
            <w:r>
              <w:t xml:space="preserve">Outbound web filtering and DLP</w:t>
            </w:r>
          </w:p>
        </w:tc>
        <w:tc>
          <w:tcPr/>
          <w:p>
            <w:pPr>
              <w:pStyle w:val="Compact"/>
            </w:pPr>
            <w:r>
              <w:t xml:space="preserve">Attribute-scoped user groups; logs to the SIEM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Cloud Access Security Broker</w:t>
            </w:r>
          </w:p>
        </w:tc>
        <w:tc>
          <w:tcPr/>
          <w:p>
            <w:pPr>
              <w:pStyle w:val="Compact"/>
            </w:pPr>
            <w:r>
              <w:t xml:space="preserve">Inline enforcement for sanctioned cloud apps</w:t>
            </w:r>
          </w:p>
        </w:tc>
        <w:tc>
          <w:tcPr/>
          <w:p>
            <w:pPr>
              <w:pStyle w:val="Compact"/>
            </w:pPr>
            <w:r>
              <w:t xml:space="preserve">Reads the cloud app catalog; attribute-scoped policies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Firewall as a Service</w:t>
            </w:r>
          </w:p>
        </w:tc>
        <w:tc>
          <w:tcPr/>
          <w:p>
            <w:pPr>
              <w:pStyle w:val="Compact"/>
            </w:pPr>
            <w:r>
              <w:t xml:space="preserve">Distributed firewall plane</w:t>
            </w:r>
          </w:p>
        </w:tc>
        <w:tc>
          <w:tcPr/>
          <w:p>
            <w:pPr>
              <w:pStyle w:val="Compact"/>
            </w:pPr>
            <w:r>
              <w:t xml:space="preserve">Policy targeted by projected tags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Data Loss Prevention</w:t>
            </w:r>
          </w:p>
        </w:tc>
        <w:tc>
          <w:tcPr/>
          <w:p>
            <w:pPr>
              <w:pStyle w:val="Compact"/>
            </w:pPr>
            <w:r>
              <w:t xml:space="preserve">Content-aware filtering</w:t>
            </w:r>
          </w:p>
        </w:tc>
        <w:tc>
          <w:tcPr/>
          <w:p>
            <w:pPr>
              <w:pStyle w:val="Compact"/>
            </w:pPr>
            <w:r>
              <w:t xml:space="preserve">Attribute-scoped sensitive-data groups</w:t>
            </w:r>
          </w:p>
        </w:tc>
      </w:tr>
    </w:tbl>
    <w:p>
      <w:pPr>
        <w:pStyle w:val="BodyText"/>
      </w:pPr>
      <w:r>
        <w:t xml:space="preserve">Whatever the vendor, the contract is the same: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Federation.</w:t>
      </w:r>
      <w:r>
        <w:t xml:space="preserve"> </w:t>
      </w:r>
      <w:r>
        <w:t xml:space="preserve">Users authenticate through Entra ID; there is no local SASE user database.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Group targeting.</w:t>
      </w:r>
      <w:r>
        <w:t xml:space="preserve"> </w:t>
      </w:r>
      <w:r>
        <w:t xml:space="preserve">Policies reference attribute-scoped dynamic groups.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Device posture.</w:t>
      </w:r>
      <w:r>
        <w:t xml:space="preserve"> </w:t>
      </w:r>
      <w:r>
        <w:t xml:space="preserve">The Intune compliance signal is a policy input.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Logging.</w:t>
      </w:r>
      <w:r>
        <w:t xml:space="preserve"> </w:t>
      </w:r>
      <w:r>
        <w:t xml:space="preserve">Access logs go to the SIEM, and the drift engine correlates them with Entra sign-in logs.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Provenance.</w:t>
      </w:r>
      <w:r>
        <w:t xml:space="preserve"> </w:t>
      </w:r>
      <w:r>
        <w:t xml:space="preserve">Policy changes flow through the repository, never through direct portal edits.</w:t>
      </w:r>
    </w:p>
    <w:bookmarkEnd w:id="24"/>
    <w:bookmarkStart w:id="37" w:name="phishing-resistant-mfa"/>
    <w:p>
      <w:pPr>
        <w:pStyle w:val="Heading2"/>
      </w:pPr>
      <w:r>
        <w:t xml:space="preserve">Phishing-resistant MFA</w:t>
      </w:r>
    </w:p>
    <w:p>
      <w:pPr>
        <w:pStyle w:val="FirstParagraph"/>
      </w:pPr>
      <w:r>
        <w:t xml:space="preserve">Phishing-resistant methods are required for every privileged user and for all users on high-risk resources.</w:t>
      </w:r>
      <w:r>
        <w:rPr>
          <w:rStyle w:val="FootnoteReference"/>
        </w:rPr>
        <w:footnoteReference w:id="25"/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45"/>
        <w:gridCol w:w="3863"/>
        <w:gridCol w:w="251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Method</w:t>
            </w:r>
          </w:p>
        </w:tc>
        <w:tc>
          <w:tcPr/>
          <w:p>
            <w:pPr>
              <w:pStyle w:val="Compact"/>
            </w:pPr>
            <w:r>
              <w:t xml:space="preserve">Phishing-resistant</w:t>
            </w:r>
          </w:p>
        </w:tc>
        <w:tc>
          <w:tcPr/>
          <w:p>
            <w:pPr>
              <w:pStyle w:val="Compact"/>
            </w:pPr>
            <w:r>
              <w:t xml:space="preserve">Typical use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FIDO2 security keys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Tier-0 administrators, high-privilege users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Windows Hello for Business</w:t>
            </w:r>
            <w:r>
              <w:t xml:space="preserve"> </w:t>
            </w:r>
            <w:r>
              <w:t xml:space="preserve">(and Platform SSO on macOS)</w:t>
            </w:r>
            <w:r>
              <w:rPr>
                <w:rStyle w:val="FootnoteReference"/>
              </w:rPr>
              <w:footnoteReference w:id="27"/>
            </w:r>
            <w:r>
              <w:rPr>
                <w:rStyle w:val="FootnoteReference"/>
              </w:rPr>
              <w:footnoteReference w:id="29"/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Default daily sign-in on user PCs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Certificate-based authentication</w:t>
            </w:r>
            <w:r>
              <w:t xml:space="preserve"> </w:t>
            </w:r>
            <w:r>
              <w:t xml:space="preserve">(PIV/CAC)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Smart-card holders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Passkey in Authenticator</w:t>
            </w:r>
            <w:r>
              <w:t xml:space="preserve"> </w:t>
            </w:r>
            <w:r>
              <w:t xml:space="preserve">(device-bound)</w:t>
            </w:r>
            <w:r>
              <w:rPr>
                <w:rStyle w:val="FootnoteReference"/>
              </w:rPr>
              <w:footnoteReference w:id="31"/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Mobile and cross-device sign-in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Authenticator push</w:t>
            </w:r>
            <w:r>
              <w:t xml:space="preserve"> </w:t>
            </w:r>
            <w:r>
              <w:t xml:space="preserve">(number matching always on)</w:t>
            </w:r>
            <w:r>
              <w:rPr>
                <w:rStyle w:val="FootnoteReference"/>
              </w:rPr>
              <w:footnoteReference w:id="33"/>
            </w:r>
          </w:p>
        </w:tc>
        <w:tc>
          <w:tcPr/>
          <w:p>
            <w:pPr>
              <w:pStyle w:val="Compact"/>
            </w:pPr>
            <w:r>
              <w:t xml:space="preserve">No; resists push fatigue, not phishing</w:t>
            </w:r>
          </w:p>
        </w:tc>
        <w:tc>
          <w:tcPr/>
          <w:p>
            <w:pPr>
              <w:pStyle w:val="Compact"/>
            </w:pPr>
            <w:r>
              <w:t xml:space="preserve">Transition and secondary method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SMS / voice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Not permitted</w:t>
            </w:r>
          </w:p>
        </w:tc>
      </w:tr>
    </w:tbl>
    <w:p>
      <w:pPr>
        <w:pStyle w:val="BodyText"/>
      </w:pPr>
      <w:r>
        <w:t xml:space="preserve">The Conditional Access library (Chapter 05) requires FIDO2 or CBA for Tier-0 administrators, privileged roles and break-glass test accounts; requires MFA for everyone else with an authentication strength that excludes SMS and voice;</w:t>
      </w:r>
      <w:r>
        <w:rPr>
          <w:rStyle w:val="FootnoteReference"/>
        </w:rPr>
        <w:footnoteReference w:id="35"/>
      </w:r>
      <w:r>
        <w:t xml:space="preserve"> </w:t>
      </w:r>
      <w:r>
        <w:t xml:space="preserve">and requires stronger methods for sensitive applications. Where smart cards exist, CBA is the user default: card plus PIN reaches the same phishing-resistant session as Windows Hello for Business.</w:t>
      </w:r>
    </w:p>
    <w:bookmarkEnd w:id="37"/>
    <w:bookmarkStart w:id="46" w:name="X3617a15164973618f109e14c34a3e8ad8d7eb4e"/>
    <w:p>
      <w:pPr>
        <w:pStyle w:val="Heading2"/>
      </w:pPr>
      <w:r>
        <w:t xml:space="preserve">Cloud certificate-based authentication — the AD CS retirement path</w:t>
      </w:r>
    </w:p>
    <w:p>
      <w:pPr>
        <w:pStyle w:val="FirstParagraph"/>
      </w:pPr>
      <w:r>
        <w:t xml:space="preserve">Smart-card logon has historically been anchored in AD CS and AD DS. When AD DS retires, that validation path goes with it unless the chain is re-anchored in Entra ID.</w:t>
      </w:r>
    </w:p>
    <w:p>
      <w:pPr>
        <w:pStyle w:val="BodyText"/>
      </w:pPr>
      <w:r>
        <w:t xml:space="preserve">Entra CBA accepts X.509 certificates from CAs in the tenant’s PKI-based trust store, which holds root and issuing CA certificates and their revocation-list locations.</w:t>
      </w:r>
      <w:r>
        <w:rPr>
          <w:rStyle w:val="FootnoteReference"/>
        </w:rPr>
        <w:footnoteReference w:id="38"/>
      </w:r>
      <w:r>
        <w:t xml:space="preserve"> </w:t>
      </w:r>
      <w:r>
        <w:t xml:space="preserve">At sign-in, Entra ID validates the chain, binds the certificate to a user through username-binding rules (for example SAN principal name, RFC 822 name, or issuer and serial number, with high-affinity bindings preferred),</w:t>
      </w:r>
      <w:r>
        <w:rPr>
          <w:rStyle w:val="FootnoteReference"/>
        </w:rPr>
        <w:footnoteReference w:id="40"/>
      </w:r>
      <w:r>
        <w:t xml:space="preserve"> </w:t>
      </w:r>
      <w:r>
        <w:t xml:space="preserve">issues a token, and evaluates Conditional Access. The user still inserts a card and enters a PIN; only the end of the validation chain moves.</w:t>
      </w:r>
    </w:p>
    <w:p>
      <w:pPr>
        <w:pStyle w:val="BodyText"/>
      </w:pPr>
      <w:r>
        <w:t xml:space="preserve">The retirement sequence:</w:t>
      </w:r>
    </w:p>
    <w:p>
      <w:pPr>
        <w:pStyle w:val="Compact"/>
        <w:numPr>
          <w:ilvl w:val="0"/>
          <w:numId w:val="1004"/>
        </w:numPr>
      </w:pPr>
      <w:r>
        <w:t xml:space="preserve">Add root and issuing CA certificates, with revocation-list locations, to the PKI-based trust store.</w:t>
      </w:r>
    </w:p>
    <w:p>
      <w:pPr>
        <w:pStyle w:val="Compact"/>
        <w:numPr>
          <w:ilvl w:val="0"/>
          <w:numId w:val="1004"/>
        </w:numPr>
      </w:pPr>
      <w:r>
        <w:t xml:space="preserve">Configure username bindings.</w:t>
      </w:r>
    </w:p>
    <w:p>
      <w:pPr>
        <w:pStyle w:val="Compact"/>
        <w:numPr>
          <w:ilvl w:val="0"/>
          <w:numId w:val="1004"/>
        </w:numPr>
      </w:pPr>
      <w:r>
        <w:t xml:space="preserve">Enable CBA as an authentication method.</w:t>
      </w:r>
    </w:p>
    <w:p>
      <w:pPr>
        <w:pStyle w:val="Compact"/>
        <w:numPr>
          <w:ilvl w:val="0"/>
          <w:numId w:val="1004"/>
        </w:numPr>
      </w:pPr>
      <w:r>
        <w:t xml:space="preserve">Require CBA for designated attribute-scoped groups through Conditional Access.</w:t>
      </w:r>
    </w:p>
    <w:p>
      <w:pPr>
        <w:pStyle w:val="Compact"/>
        <w:numPr>
          <w:ilvl w:val="0"/>
          <w:numId w:val="1004"/>
        </w:numPr>
      </w:pPr>
      <w:r>
        <w:t xml:space="preserve">Validate smart-card sign-ins in the sign-in logs.</w:t>
      </w:r>
    </w:p>
    <w:p>
      <w:pPr>
        <w:pStyle w:val="Compact"/>
        <w:numPr>
          <w:ilvl w:val="0"/>
          <w:numId w:val="1004"/>
        </w:numPr>
      </w:pPr>
      <w:r>
        <w:t xml:space="preserve">Retire the AD smart-card logon GPO (Chapter 05).</w:t>
      </w:r>
    </w:p>
    <w:p>
      <w:pPr>
        <w:pStyle w:val="FirstParagraph"/>
      </w:pPr>
      <w:r>
        <w:t xml:space="preserve">Issuance is a separate decision. An AD CS</w:t>
      </w:r>
      <w:r>
        <w:t xml:space="preserve"> </w:t>
      </w:r>
      <w:r>
        <w:rPr>
          <w:i/>
          <w:iCs/>
        </w:rPr>
        <w:t xml:space="preserve">enterprise</w:t>
      </w:r>
      <w:r>
        <w:t xml:space="preserve"> </w:t>
      </w:r>
      <w:r>
        <w:t xml:space="preserve">CA depends on AD DS,</w:t>
      </w:r>
      <w:r>
        <w:rPr>
          <w:rStyle w:val="FootnoteReference"/>
        </w:rPr>
        <w:footnoteReference w:id="42"/>
      </w:r>
      <w:r>
        <w:t xml:space="preserve"> </w:t>
      </w:r>
      <w:r>
        <w:t xml:space="preserve">so issuance must move before AD retires: to a standalone CA, a managed cloud PKI service,</w:t>
      </w:r>
      <w:r>
        <w:rPr>
          <w:rStyle w:val="FootnoteReference"/>
        </w:rPr>
        <w:footnoteReference w:id="44"/>
      </w:r>
      <w:r>
        <w:t xml:space="preserve"> </w:t>
      </w:r>
      <w:r>
        <w:t xml:space="preserve">or a third-party or federal shared-service CA. For PIV/CAC, the agency’s PIV issuer usually already fills this role. The framework keeps issuance and the Entra trust store pointed at the same CAs.</w:t>
      </w:r>
    </w:p>
    <w:bookmarkEnd w:id="46"/>
    <w:bookmarkStart w:id="49" w:name="privileged-access-management"/>
    <w:p>
      <w:pPr>
        <w:pStyle w:val="Heading2"/>
      </w:pPr>
      <w:r>
        <w:t xml:space="preserve">Privileged access management</w:t>
      </w:r>
    </w:p>
    <w:p>
      <w:pPr>
        <w:pStyle w:val="FirstParagraph"/>
      </w:pPr>
      <w:r>
        <w:t xml:space="preserve">Every privileged account, whether a domain-admin equivalent, cloud administrator or break-glass account, goes through a PAM vault, whichever vendor supplies it: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No standing privilege.</w:t>
      </w:r>
      <w:r>
        <w:rPr>
          <w:rStyle w:val="FootnoteReference"/>
        </w:rPr>
        <w:footnoteReference w:id="47"/>
      </w:r>
      <w:r>
        <w:t xml:space="preserve"> </w:t>
      </w:r>
      <w:r>
        <w:t xml:space="preserve">Each use requires explicit MFA-gated, time-bound, purpose-documented elevation.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Break-glass accounts</w:t>
      </w:r>
      <w:r>
        <w:t xml:space="preserve"> </w:t>
      </w:r>
      <w:r>
        <w:t xml:space="preserve">are vaulted, with dual-approval checkout, session recording and rotation on release.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Elevated service accounts</w:t>
      </w:r>
      <w:r>
        <w:t xml:space="preserve"> </w:t>
      </w:r>
      <w:r>
        <w:t xml:space="preserve">use managed identities and workload identity federation where possible, gMSAs on remaining Kerberos islands, and vaulted accounts only as a last resort.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Session recording</w:t>
      </w:r>
      <w:r>
        <w:t xml:space="preserve"> </w:t>
      </w:r>
      <w:r>
        <w:t xml:space="preserve">(video, keystrokes, command lines) goes to the SIEM. This is a third-party PAM capability, not part of Entra PIM.</w:t>
      </w:r>
    </w:p>
    <w:p>
      <w:pPr>
        <w:pStyle w:val="FirstParagraph"/>
      </w:pPr>
      <w:r>
        <w:t xml:space="preserve">Two drift types apply here: a vaulted account missing from Entra ID is</w:t>
      </w:r>
      <w:r>
        <w:t xml:space="preserve"> </w:t>
      </w:r>
      <w:r>
        <w:rPr>
          <w:i/>
          <w:iCs/>
        </w:rPr>
        <w:t xml:space="preserve">orphan drift</w:t>
      </w:r>
      <w:r>
        <w:t xml:space="preserve">; a privileged Entra account that is not vaulted is</w:t>
      </w:r>
      <w:r>
        <w:t xml:space="preserve"> </w:t>
      </w:r>
      <w:r>
        <w:rPr>
          <w:i/>
          <w:iCs/>
        </w:rPr>
        <w:t xml:space="preserve">phantom drift</w:t>
      </w:r>
      <w:r>
        <w:t xml:space="preserve">.</w:t>
      </w:r>
    </w:p>
    <w:bookmarkEnd w:id="49"/>
    <w:bookmarkStart w:id="54" w:name="continuous-access-evaluation"/>
    <w:p>
      <w:pPr>
        <w:pStyle w:val="Heading2"/>
      </w:pPr>
      <w:r>
        <w:t xml:space="preserve">Continuous access evaluation</w:t>
      </w:r>
    </w:p>
    <w:p>
      <w:pPr>
        <w:pStyle w:val="FirstParagraph"/>
      </w:pPr>
      <w:r>
        <w:t xml:space="preserve">A Zero Trust session is not</w:t>
      </w:r>
      <w:r>
        <w:t xml:space="preserve"> </w:t>
      </w:r>
      <w:r>
        <w:t xml:space="preserve">“good for twelve hours.”</w:t>
      </w:r>
      <w:r>
        <w:t xml:space="preserve"> </w:t>
      </w:r>
      <w:r>
        <w:t xml:space="preserve">With continuous access evaluation, Entra ID and participating services revoke a live session when:</w:t>
      </w:r>
    </w:p>
    <w:p>
      <w:pPr>
        <w:pStyle w:val="Compact"/>
        <w:numPr>
          <w:ilvl w:val="0"/>
          <w:numId w:val="1006"/>
        </w:numPr>
      </w:pPr>
      <w:r>
        <w:t xml:space="preserve">the user’s password changes, or the account is disabled or deleted;</w:t>
      </w:r>
    </w:p>
    <w:p>
      <w:pPr>
        <w:pStyle w:val="Compact"/>
        <w:numPr>
          <w:ilvl w:val="0"/>
          <w:numId w:val="1006"/>
        </w:numPr>
      </w:pPr>
      <w:r>
        <w:t xml:space="preserve">the network location moves to a blocked range (with strict location enforcement enabled);</w:t>
      </w:r>
    </w:p>
    <w:p>
      <w:pPr>
        <w:pStyle w:val="Compact"/>
        <w:numPr>
          <w:ilvl w:val="0"/>
          <w:numId w:val="1006"/>
        </w:numPr>
      </w:pPr>
      <w:r>
        <w:t xml:space="preserve">user risk rises to high, for example on leaked credentials detected by Entra ID Protection.</w:t>
      </w:r>
      <w:r>
        <w:rPr>
          <w:rStyle w:val="FootnoteReference"/>
        </w:rPr>
        <w:footnoteReference w:id="50"/>
      </w:r>
    </w:p>
    <w:p>
      <w:pPr>
        <w:pStyle w:val="FirstParagraph"/>
      </w:pPr>
      <w:r>
        <w:t xml:space="preserve">CAE works only with CAE-capable applications,</w:t>
      </w:r>
      <w:r>
        <w:rPr>
          <w:rStyle w:val="FootnoteReference"/>
        </w:rPr>
        <w:footnoteReference w:id="52"/>
      </w:r>
      <w:r>
        <w:t xml:space="preserve"> </w:t>
      </w:r>
      <w:r>
        <w:t xml:space="preserve">and reacts to these critical events and IP-location changes, not to every Conditional Access condition. A device-compliance change, for example, takes effect at the next token refresh, so policies are written with that in mind.</w:t>
      </w:r>
    </w:p>
    <w:bookmarkEnd w:id="54"/>
    <w:bookmarkStart w:id="55" w:name="the-access-plane-in-one-flow"/>
    <w:p>
      <w:pPr>
        <w:pStyle w:val="Heading2"/>
      </w:pPr>
      <w:r>
        <w:t xml:space="preserve">The access plane in one flow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Boot.</w:t>
      </w:r>
      <w:r>
        <w:t xml:space="preserve"> </w:t>
      </w:r>
      <w:r>
        <w:t xml:space="preserve">Intune compliance checks pass and the disk unlocks with an escrowed key.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Sign-in.</w:t>
      </w:r>
      <w:r>
        <w:t xml:space="preserve"> </w:t>
      </w:r>
      <w:r>
        <w:t xml:space="preserve">Smart card and PIN; CBA validates the chain; a CAE-capable token is issued.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Conditional Access.</w:t>
      </w:r>
      <w:r>
        <w:t xml:space="preserve"> </w:t>
      </w:r>
      <w:r>
        <w:t xml:space="preserve">Compliant device, phishing-resistant MFA, expected location and low risk: allowed.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Apps.</w:t>
      </w:r>
      <w:r>
        <w:t xml:space="preserve"> </w:t>
      </w:r>
      <w:r>
        <w:t xml:space="preserve">Single sign-on covers later authentications; CAE can revoke the session if risk rises.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Internal apps.</w:t>
      </w:r>
      <w:r>
        <w:t xml:space="preserve"> </w:t>
      </w:r>
      <w:r>
        <w:t xml:space="preserve">ZTNA accepts the cloud token, checks compliance, MFA and attribute scope, proxies the connection and logs it. No VPN.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Privileged change.</w:t>
      </w:r>
      <w:r>
        <w:t xml:space="preserve"> </w:t>
      </w:r>
      <w:r>
        <w:t xml:space="preserve">Just-in-time elevation re-challenges MFA, grants a time-boxed window, records the session and emits the event.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End of day.</w:t>
      </w:r>
      <w:r>
        <w:t xml:space="preserve"> </w:t>
      </w:r>
      <w:r>
        <w:t xml:space="preserve">Tokens expire or refresh at the next sign-in, and the cycle restarts.</w:t>
      </w:r>
    </w:p>
    <w:p>
      <w:pPr>
        <w:pStyle w:val="FirstParagraph"/>
      </w:pPr>
      <w:r>
        <w:t xml:space="preserve">Each step is attribute-scoped and logged. Any failure becomes a tracked item.</w:t>
      </w:r>
    </w:p>
    <w:bookmarkEnd w:id="55"/>
    <w:bookmarkStart w:id="56" w:name="validation"/>
    <w:p>
      <w:pPr>
        <w:pStyle w:val="Heading2"/>
      </w:pPr>
      <w:r>
        <w:t xml:space="preserve">Validation</w:t>
      </w:r>
    </w:p>
    <w:p>
      <w:pPr>
        <w:pStyle w:val="FirstParagraph"/>
      </w:pPr>
      <w:r>
        <w:t xml:space="preserve">Access-plane migration passes when:</w:t>
      </w:r>
    </w:p>
    <w:p>
      <w:pPr>
        <w:pStyle w:val="Compact"/>
        <w:numPr>
          <w:ilvl w:val="0"/>
          <w:numId w:val="1008"/>
        </w:numPr>
      </w:pPr>
      <w:r>
        <w:t xml:space="preserve">every user’s primary method is FIDO2, a passkey, Windows Hello for Business or CBA, with no SMS or voice as primary;</w:t>
      </w:r>
    </w:p>
    <w:p>
      <w:pPr>
        <w:pStyle w:val="Compact"/>
        <w:numPr>
          <w:ilvl w:val="0"/>
          <w:numId w:val="1008"/>
        </w:numPr>
      </w:pPr>
      <w:r>
        <w:t xml:space="preserve">every smart-card user signs in through Entra CBA, not AD-anchored smart-card logon;</w:t>
      </w:r>
    </w:p>
    <w:p>
      <w:pPr>
        <w:pStyle w:val="Compact"/>
        <w:numPr>
          <w:ilvl w:val="0"/>
          <w:numId w:val="1008"/>
        </w:numPr>
      </w:pPr>
      <w:r>
        <w:t xml:space="preserve">user-facing policies target attribute-scoped dynamic groups;</w:t>
      </w:r>
    </w:p>
    <w:p>
      <w:pPr>
        <w:pStyle w:val="Compact"/>
        <w:numPr>
          <w:ilvl w:val="0"/>
          <w:numId w:val="1008"/>
        </w:numPr>
      </w:pPr>
      <w:r>
        <w:t xml:space="preserve">at least ZTNA, a secure web gateway and a CASB are in place and federated with Entra ID;</w:t>
      </w:r>
    </w:p>
    <w:p>
      <w:pPr>
        <w:pStyle w:val="Compact"/>
        <w:numPr>
          <w:ilvl w:val="0"/>
          <w:numId w:val="1008"/>
        </w:numPr>
      </w:pPr>
      <w:r>
        <w:t xml:space="preserve">every privileged account goes through PAM with session recording, and break-glass use is audited on a schedule;</w:t>
      </w:r>
    </w:p>
    <w:p>
      <w:pPr>
        <w:pStyle w:val="Compact"/>
        <w:numPr>
          <w:ilvl w:val="0"/>
          <w:numId w:val="1008"/>
        </w:numPr>
      </w:pPr>
      <w:r>
        <w:t xml:space="preserve">CAE is enabled for supported applications, with strict location enforcement where location policies apply;</w:t>
      </w:r>
    </w:p>
    <w:p>
      <w:pPr>
        <w:pStyle w:val="Compact"/>
        <w:numPr>
          <w:ilvl w:val="0"/>
          <w:numId w:val="1008"/>
        </w:numPr>
      </w:pPr>
      <w:r>
        <w:t xml:space="preserve">the VPN remains only for named legacy applications with an end-of-life date.</w:t>
      </w:r>
    </w:p>
    <w:bookmarkEnd w:id="56"/>
    <w:bookmarkStart w:id="57" w:name="key-takeaways"/>
    <w:p>
      <w:pPr>
        <w:pStyle w:val="Heading2"/>
      </w:pPr>
      <w:r>
        <w:t xml:space="preserve">Key takeaways</w:t>
      </w:r>
    </w:p>
    <w:p>
      <w:pPr>
        <w:pStyle w:val="Compact"/>
        <w:numPr>
          <w:ilvl w:val="0"/>
          <w:numId w:val="1009"/>
        </w:numPr>
      </w:pPr>
      <w:r>
        <w:t xml:space="preserve">Access decisions move from network location to identity, device, and risk, enforced by Conditional Access.</w:t>
      </w:r>
    </w:p>
    <w:p>
      <w:pPr>
        <w:pStyle w:val="Compact"/>
        <w:numPr>
          <w:ilvl w:val="0"/>
          <w:numId w:val="1009"/>
        </w:numPr>
      </w:pPr>
      <w:r>
        <w:t xml:space="preserve">Phishing-resistant MFA (FIDO2, Windows Hello, passkeys, PIV/CAC via CBA) is the target for all users.</w:t>
      </w:r>
    </w:p>
    <w:p>
      <w:pPr>
        <w:pStyle w:val="Compact"/>
        <w:numPr>
          <w:ilvl w:val="0"/>
          <w:numId w:val="1009"/>
        </w:numPr>
      </w:pPr>
      <w:r>
        <w:t xml:space="preserve">Certificate issuance needs a successor before AD retires, because an enterprise CA depends on AD DS.</w:t>
      </w:r>
    </w:p>
    <w:bookmarkEnd w:id="57"/>
    <w:bookmarkStart w:id="60" w:name="authoritative-references"/>
    <w:p>
      <w:pPr>
        <w:pStyle w:val="Heading2"/>
      </w:pPr>
      <w:r>
        <w:t xml:space="preserve">Authoritative references</w:t>
      </w:r>
    </w:p>
    <w:p>
      <w:pPr>
        <w:pStyle w:val="Compact"/>
        <w:numPr>
          <w:ilvl w:val="0"/>
          <w:numId w:val="1010"/>
        </w:numPr>
      </w:pPr>
      <w:r>
        <w:t xml:space="preserve">Microsoft Learn,</w:t>
      </w:r>
      <w:r>
        <w:t xml:space="preserve"> </w:t>
      </w:r>
      <w:hyperlink r:id="rId16">
        <w:r>
          <w:rPr>
            <w:rStyle w:val="Hyperlink"/>
          </w:rPr>
          <w:t xml:space="preserve">Zero Trust as a security foundation</w:t>
        </w:r>
      </w:hyperlink>
    </w:p>
    <w:p>
      <w:pPr>
        <w:pStyle w:val="Compact"/>
        <w:numPr>
          <w:ilvl w:val="0"/>
          <w:numId w:val="1010"/>
        </w:numPr>
      </w:pPr>
      <w:r>
        <w:t xml:space="preserve">NIST,</w:t>
      </w:r>
      <w:r>
        <w:t xml:space="preserve"> </w:t>
      </w:r>
      <w:hyperlink r:id="rId14">
        <w:r>
          <w:rPr>
            <w:rStyle w:val="Hyperlink"/>
          </w:rPr>
          <w:t xml:space="preserve">SP 800-207, Zero Trust Architecture</w:t>
        </w:r>
      </w:hyperlink>
    </w:p>
    <w:p>
      <w:pPr>
        <w:pStyle w:val="Compact"/>
        <w:numPr>
          <w:ilvl w:val="0"/>
          <w:numId w:val="1010"/>
        </w:numPr>
      </w:pPr>
      <w:r>
        <w:t xml:space="preserve">Microsoft Learn,</w:t>
      </w:r>
      <w:r>
        <w:t xml:space="preserve"> </w:t>
      </w:r>
      <w:hyperlink r:id="rId20">
        <w:r>
          <w:rPr>
            <w:rStyle w:val="Hyperlink"/>
          </w:rPr>
          <w:t xml:space="preserve">Workload Identity Federation - Microsoft Entra Workload ID</w:t>
        </w:r>
      </w:hyperlink>
    </w:p>
    <w:p>
      <w:pPr>
        <w:pStyle w:val="Compact"/>
        <w:numPr>
          <w:ilvl w:val="0"/>
          <w:numId w:val="1010"/>
        </w:numPr>
      </w:pPr>
      <w:r>
        <w:t xml:space="preserve">Microsoft Learn,</w:t>
      </w:r>
      <w:r>
        <w:t xml:space="preserve"> </w:t>
      </w:r>
      <w:hyperlink r:id="rId18">
        <w:r>
          <w:rPr>
            <w:rStyle w:val="Hyperlink"/>
          </w:rPr>
          <w:t xml:space="preserve">Group Managed Service Accounts overview</w:t>
        </w:r>
      </w:hyperlink>
    </w:p>
    <w:p>
      <w:pPr>
        <w:pStyle w:val="Compact"/>
        <w:numPr>
          <w:ilvl w:val="0"/>
          <w:numId w:val="1010"/>
        </w:numPr>
      </w:pPr>
      <w:r>
        <w:t xml:space="preserve">Microsoft Learn,</w:t>
      </w:r>
      <w:r>
        <w:t xml:space="preserve"> </w:t>
      </w:r>
      <w:hyperlink r:id="rId30">
        <w:r>
          <w:rPr>
            <w:rStyle w:val="Hyperlink"/>
          </w:rPr>
          <w:t xml:space="preserve">Windows Hello for Business overview</w:t>
        </w:r>
      </w:hyperlink>
    </w:p>
    <w:p>
      <w:pPr>
        <w:pStyle w:val="Compact"/>
        <w:numPr>
          <w:ilvl w:val="0"/>
          <w:numId w:val="1010"/>
        </w:numPr>
      </w:pPr>
      <w:r>
        <w:t xml:space="preserve">Microsoft Learn,</w:t>
      </w:r>
      <w:r>
        <w:t xml:space="preserve"> </w:t>
      </w:r>
      <w:hyperlink r:id="rId28">
        <w:r>
          <w:rPr>
            <w:rStyle w:val="Hyperlink"/>
          </w:rPr>
          <w:t xml:space="preserve">Configure Platform SSO for macOS devices - Microsoft Intune</w:t>
        </w:r>
      </w:hyperlink>
    </w:p>
    <w:p>
      <w:pPr>
        <w:pStyle w:val="Compact"/>
        <w:numPr>
          <w:ilvl w:val="0"/>
          <w:numId w:val="1010"/>
        </w:numPr>
      </w:pPr>
      <w:r>
        <w:t xml:space="preserve">Microsoft Learn,</w:t>
      </w:r>
      <w:r>
        <w:t xml:space="preserve"> </w:t>
      </w:r>
      <w:hyperlink r:id="rId34">
        <w:r>
          <w:rPr>
            <w:rStyle w:val="Hyperlink"/>
          </w:rPr>
          <w:t xml:space="preserve">How number matching works in MFA push notifications for Authenticator - Microsoft Entra ID</w:t>
        </w:r>
      </w:hyperlink>
    </w:p>
    <w:p>
      <w:pPr>
        <w:pStyle w:val="Compact"/>
        <w:numPr>
          <w:ilvl w:val="0"/>
          <w:numId w:val="1010"/>
        </w:numPr>
      </w:pPr>
      <w:r>
        <w:t xml:space="preserve">Microsoft Learn,</w:t>
      </w:r>
      <w:r>
        <w:t xml:space="preserve"> </w:t>
      </w:r>
      <w:hyperlink r:id="rId32">
        <w:r>
          <w:rPr>
            <w:rStyle w:val="Hyperlink"/>
          </w:rPr>
          <w:t xml:space="preserve">Enable and support passkeys in Authenticator for Microsoft Entra ID - Microsoft Entra ID</w:t>
        </w:r>
      </w:hyperlink>
    </w:p>
    <w:p>
      <w:pPr>
        <w:pStyle w:val="Compact"/>
        <w:numPr>
          <w:ilvl w:val="0"/>
          <w:numId w:val="1010"/>
        </w:numPr>
      </w:pPr>
      <w:r>
        <w:t xml:space="preserve">Microsoft Learn,</w:t>
      </w:r>
      <w:r>
        <w:t xml:space="preserve"> </w:t>
      </w:r>
      <w:hyperlink r:id="rId36">
        <w:r>
          <w:rPr>
            <w:rStyle w:val="Hyperlink"/>
          </w:rPr>
          <w:t xml:space="preserve">Overview of Conditional Access Authentication Strengths - Microsoft Entra ID</w:t>
        </w:r>
      </w:hyperlink>
    </w:p>
    <w:p>
      <w:pPr>
        <w:pStyle w:val="Compact"/>
        <w:numPr>
          <w:ilvl w:val="0"/>
          <w:numId w:val="1010"/>
        </w:numPr>
      </w:pPr>
      <w:r>
        <w:t xml:space="preserve">OMB,</w:t>
      </w:r>
      <w:r>
        <w:t xml:space="preserve"> </w:t>
      </w:r>
      <w:hyperlink r:id="rId26">
        <w:r>
          <w:rPr>
            <w:rStyle w:val="Hyperlink"/>
          </w:rPr>
          <w:t xml:space="preserve">OMB M-22-09: Moving the U.S. Government Toward Zero Trust Cybersecurity Principles</w:t>
        </w:r>
      </w:hyperlink>
    </w:p>
    <w:p>
      <w:pPr>
        <w:pStyle w:val="Compact"/>
        <w:numPr>
          <w:ilvl w:val="0"/>
          <w:numId w:val="1010"/>
        </w:numPr>
      </w:pPr>
      <w:r>
        <w:t xml:space="preserve">Microsoft Learn,</w:t>
      </w:r>
      <w:r>
        <w:t xml:space="preserve"> </w:t>
      </w:r>
      <w:hyperlink r:id="rId39">
        <w:r>
          <w:rPr>
            <w:rStyle w:val="Hyperlink"/>
          </w:rPr>
          <w:t xml:space="preserve">How to configure certificate authorities for Microsoft Entra certificate-based authentication - Microsoft Entra ID</w:t>
        </w:r>
      </w:hyperlink>
    </w:p>
    <w:p>
      <w:pPr>
        <w:pStyle w:val="Compact"/>
        <w:numPr>
          <w:ilvl w:val="0"/>
          <w:numId w:val="1010"/>
        </w:numPr>
      </w:pPr>
      <w:r>
        <w:t xml:space="preserve">Microsoft Learn,</w:t>
      </w:r>
      <w:r>
        <w:t xml:space="preserve"> </w:t>
      </w:r>
      <w:hyperlink r:id="rId41">
        <w:r>
          <w:rPr>
            <w:rStyle w:val="Hyperlink"/>
          </w:rPr>
          <w:t xml:space="preserve">Set Up Microsoft Entra CBA - Microsoft Entra ID</w:t>
        </w:r>
      </w:hyperlink>
    </w:p>
    <w:p>
      <w:pPr>
        <w:pStyle w:val="Compact"/>
        <w:numPr>
          <w:ilvl w:val="0"/>
          <w:numId w:val="1010"/>
        </w:numPr>
      </w:pPr>
      <w:r>
        <w:t xml:space="preserve">Microsoft Learn,</w:t>
      </w:r>
      <w:r>
        <w:t xml:space="preserve"> </w:t>
      </w:r>
      <w:hyperlink r:id="rId43">
        <w:r>
          <w:rPr>
            <w:rStyle w:val="Hyperlink"/>
          </w:rPr>
          <w:t xml:space="preserve">What is the Certification Authority Role Service in Windows Server?</w:t>
        </w:r>
      </w:hyperlink>
    </w:p>
    <w:p>
      <w:pPr>
        <w:pStyle w:val="Compact"/>
        <w:numPr>
          <w:ilvl w:val="0"/>
          <w:numId w:val="1010"/>
        </w:numPr>
      </w:pPr>
      <w:r>
        <w:t xml:space="preserve">Microsoft Learn,</w:t>
      </w:r>
      <w:r>
        <w:t xml:space="preserve"> </w:t>
      </w:r>
      <w:hyperlink r:id="rId45">
        <w:r>
          <w:rPr>
            <w:rStyle w:val="Hyperlink"/>
          </w:rPr>
          <w:t xml:space="preserve">Microsoft Cloud PKI for Microsoft Intune - Microsoft Intune</w:t>
        </w:r>
      </w:hyperlink>
    </w:p>
    <w:p>
      <w:pPr>
        <w:pStyle w:val="Compact"/>
        <w:numPr>
          <w:ilvl w:val="0"/>
          <w:numId w:val="1010"/>
        </w:numPr>
      </w:pPr>
      <w:r>
        <w:t xml:space="preserve">Microsoft Learn,</w:t>
      </w:r>
      <w:r>
        <w:t xml:space="preserve"> </w:t>
      </w:r>
      <w:hyperlink r:id="rId53">
        <w:r>
          <w:rPr>
            <w:rStyle w:val="Hyperlink"/>
          </w:rPr>
          <w:t xml:space="preserve">Continuous access evaluation in Microsoft Entra - Microsoft Entra ID</w:t>
        </w:r>
      </w:hyperlink>
    </w:p>
    <w:p>
      <w:pPr>
        <w:pStyle w:val="Compact"/>
        <w:numPr>
          <w:ilvl w:val="0"/>
          <w:numId w:val="1010"/>
        </w:numPr>
      </w:pPr>
      <w:r>
        <w:t xml:space="preserve">Microsoft Learn,</w:t>
      </w:r>
      <w:r>
        <w:t xml:space="preserve"> </w:t>
      </w:r>
      <w:hyperlink r:id="rId23">
        <w:r>
          <w:rPr>
            <w:rStyle w:val="Hyperlink"/>
          </w:rPr>
          <w:t xml:space="preserve">What is Global Secure Access? - Global Secure Access</w:t>
        </w:r>
      </w:hyperlink>
    </w:p>
    <w:p>
      <w:pPr>
        <w:pStyle w:val="Compact"/>
        <w:numPr>
          <w:ilvl w:val="0"/>
          <w:numId w:val="1010"/>
        </w:numPr>
      </w:pPr>
      <w:r>
        <w:t xml:space="preserve">Microsoft Learn,</w:t>
      </w:r>
      <w:r>
        <w:t xml:space="preserve"> </w:t>
      </w:r>
      <w:hyperlink r:id="rId48">
        <w:r>
          <w:rPr>
            <w:rStyle w:val="Hyperlink"/>
          </w:rPr>
          <w:t xml:space="preserve">What is Privileged Identity Management? - Microsoft Entra ID Governance</w:t>
        </w:r>
      </w:hyperlink>
    </w:p>
    <w:p>
      <w:pPr>
        <w:pStyle w:val="Compact"/>
        <w:numPr>
          <w:ilvl w:val="0"/>
          <w:numId w:val="1010"/>
        </w:numPr>
      </w:pPr>
      <w:r>
        <w:t xml:space="preserve">Microsoft Learn,</w:t>
      </w:r>
      <w:r>
        <w:t xml:space="preserve"> </w:t>
      </w:r>
      <w:hyperlink r:id="rId51">
        <w:r>
          <w:rPr>
            <w:rStyle w:val="Hyperlink"/>
          </w:rPr>
          <w:t xml:space="preserve">What are risk detections? - Microsoft Entra ID Protection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Previous:</w:t>
      </w:r>
      <w:r>
        <w:t xml:space="preserve"> </w:t>
      </w:r>
      <w:hyperlink r:id="rId58">
        <w:r>
          <w:rPr>
            <w:rStyle w:val="Hyperlink"/>
          </w:rPr>
          <w:t xml:space="preserve">Chapter 07 — Compute Transformation</w:t>
        </w:r>
      </w:hyperlink>
      <w:r>
        <w:br/>
      </w:r>
      <w:r>
        <w:rPr>
          <w:b/>
          <w:bCs/>
        </w:rPr>
        <w:t xml:space="preserve">Next:</w:t>
      </w:r>
      <w:r>
        <w:t xml:space="preserve"> </w:t>
      </w:r>
      <w:hyperlink r:id="rId59">
        <w:r>
          <w:rPr>
            <w:rStyle w:val="Hyperlink"/>
          </w:rPr>
          <w:t xml:space="preserve">Chapter 09 — Migration Roadmap</w:t>
        </w:r>
      </w:hyperlink>
    </w:p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NIST,</w:t>
      </w:r>
      <w:r>
        <w:t xml:space="preserve"> </w:t>
      </w:r>
      <w:r>
        <w:rPr>
          <w:i/>
          <w:iCs/>
        </w:rPr>
        <w:t xml:space="preserve">SP 800-207, Zero Trust Architecture</w:t>
      </w:r>
      <w:r>
        <w:t xml:space="preserve">.</w:t>
      </w:r>
      <w:r>
        <w:t xml:space="preserve"> </w:t>
      </w:r>
      <w:hyperlink r:id="rId14">
        <w:r>
          <w:rPr>
            <w:rStyle w:val="Hyperlink"/>
          </w:rPr>
          <w:t xml:space="preserve">https://csrc.nist.gov/pubs/sp/800/207/final</w:t>
        </w:r>
      </w:hyperlink>
    </w:p>
  </w:footnote>
  <w:footnote w:id="1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Zero Trust as a security foundation</w:t>
      </w:r>
      <w:r>
        <w:t xml:space="preserve">.</w:t>
      </w:r>
      <w:r>
        <w:t xml:space="preserve"> </w:t>
      </w:r>
      <w:hyperlink r:id="rId16">
        <w:r>
          <w:rPr>
            <w:rStyle w:val="Hyperlink"/>
          </w:rPr>
          <w:t xml:space="preserve">https://learn.microsoft.com/en-us/security/zero-trust/zero-trust-overview</w:t>
        </w:r>
      </w:hyperlink>
    </w:p>
  </w:footnote>
  <w:footnote w:id="1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Group Managed Service Accounts overview</w:t>
      </w:r>
      <w:r>
        <w:t xml:space="preserve">.</w:t>
      </w:r>
      <w:r>
        <w:t xml:space="preserve"> </w:t>
      </w:r>
      <w:hyperlink r:id="rId18">
        <w:r>
          <w:rPr>
            <w:rStyle w:val="Hyperlink"/>
          </w:rPr>
          <w:t xml:space="preserve">https://learn.microsoft.com/en-us/windows-server/identity/ad-ds/manage/group-managed-service-accounts/group-managed-service-accounts/group-managed-service-accounts-overview</w:t>
        </w:r>
      </w:hyperlink>
    </w:p>
  </w:footnote>
  <w:footnote w:id="1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Workload Identity Federation - Microsoft Entra Workload ID</w:t>
      </w:r>
      <w:r>
        <w:t xml:space="preserve">.</w:t>
      </w:r>
      <w:r>
        <w:t xml:space="preserve"> </w:t>
      </w:r>
      <w:hyperlink r:id="rId20">
        <w:r>
          <w:rPr>
            <w:rStyle w:val="Hyperlink"/>
          </w:rPr>
          <w:t xml:space="preserve">https://learn.microsoft.com/en-us/entra/workload-id/workload-identity-federation</w:t>
        </w:r>
      </w:hyperlink>
    </w:p>
  </w:footnote>
  <w:footnote w:id="2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What is Global Secure Access? - Global Secure Access</w:t>
      </w:r>
      <w:r>
        <w:t xml:space="preserve">. Microsoft’s Security Service Edge offering is Global Secure Access (Entra Internet Access and Entra Private Access).</w:t>
      </w:r>
      <w:r>
        <w:t xml:space="preserve"> </w:t>
      </w:r>
      <w:hyperlink r:id="rId23">
        <w:r>
          <w:rPr>
            <w:rStyle w:val="Hyperlink"/>
          </w:rPr>
          <w:t xml:space="preserve">https://learn.microsoft.com/en-us/entra/global-secure-access/overview-what-is-global-secure-access</w:t>
        </w:r>
      </w:hyperlink>
    </w:p>
  </w:footnote>
  <w:footnote w:id="2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OMB,</w:t>
      </w:r>
      <w:r>
        <w:t xml:space="preserve"> </w:t>
      </w:r>
      <w:r>
        <w:rPr>
          <w:i/>
          <w:iCs/>
        </w:rPr>
        <w:t xml:space="preserve">OMB M-22-09: Moving the U.S. Government Toward Zero Trust Cybersecurity Principles</w:t>
      </w:r>
      <w:r>
        <w:t xml:space="preserve">. M-22-09 requires phishing-resistant MFA for agency staff, contractors, and partners.</w:t>
      </w:r>
      <w:r>
        <w:t xml:space="preserve"> </w:t>
      </w:r>
      <w:hyperlink r:id="rId26">
        <w:r>
          <w:rPr>
            <w:rStyle w:val="Hyperlink"/>
          </w:rPr>
          <w:t xml:space="preserve">https://www.whitehouse.gov/wp-content/uploads/2022/01/M-22-09.pdf</w:t>
        </w:r>
      </w:hyperlink>
    </w:p>
  </w:footnote>
  <w:footnote w:id="2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Configure Platform SSO for macOS devices - Microsoft Intune</w:t>
      </w:r>
      <w:r>
        <w:t xml:space="preserve">.</w:t>
      </w:r>
      <w:r>
        <w:t xml:space="preserve"> </w:t>
      </w:r>
      <w:hyperlink r:id="rId28">
        <w:r>
          <w:rPr>
            <w:rStyle w:val="Hyperlink"/>
          </w:rPr>
          <w:t xml:space="preserve">https://learn.microsoft.com/en-us/intune/device-configuration/settings-catalog/configure-platform-sso-macos</w:t>
        </w:r>
      </w:hyperlink>
    </w:p>
  </w:footnote>
  <w:footnote w:id="2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Windows Hello for Business overview</w:t>
      </w:r>
      <w:r>
        <w:t xml:space="preserve">.</w:t>
      </w:r>
      <w:r>
        <w:t xml:space="preserve"> </w:t>
      </w:r>
      <w:hyperlink r:id="rId30">
        <w:r>
          <w:rPr>
            <w:rStyle w:val="Hyperlink"/>
          </w:rPr>
          <w:t xml:space="preserve">https://learn.microsoft.com/en-us/windows/security/identity-protection/hello-for-business/</w:t>
        </w:r>
      </w:hyperlink>
    </w:p>
  </w:footnote>
  <w:footnote w:id="3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Enable and support passkeys in Authenticator for Microsoft Entra ID - Microsoft Entra ID</w:t>
      </w:r>
      <w:r>
        <w:t xml:space="preserve">.</w:t>
      </w:r>
      <w:r>
        <w:t xml:space="preserve"> </w:t>
      </w:r>
      <w:hyperlink r:id="rId32">
        <w:r>
          <w:rPr>
            <w:rStyle w:val="Hyperlink"/>
          </w:rPr>
          <w:t xml:space="preserve">https://learn.microsoft.com/en-us/entra/identity/authentication/how-to-enable-authenticator-passkey</w:t>
        </w:r>
      </w:hyperlink>
    </w:p>
  </w:footnote>
  <w:footnote w:id="3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How number matching works in MFA push notifications for Authenticator - Microsoft Entra ID</w:t>
      </w:r>
      <w:r>
        <w:t xml:space="preserve">.</w:t>
      </w:r>
      <w:r>
        <w:t xml:space="preserve"> </w:t>
      </w:r>
      <w:hyperlink r:id="rId34">
        <w:r>
          <w:rPr>
            <w:rStyle w:val="Hyperlink"/>
          </w:rPr>
          <w:t xml:space="preserve">https://learn.microsoft.com/en-us/entra/identity/authentication/how-to-mfa-number-match</w:t>
        </w:r>
      </w:hyperlink>
    </w:p>
  </w:footnote>
  <w:footnote w:id="3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Overview of Conditional Access Authentication Strengths - Microsoft Entra ID</w:t>
      </w:r>
      <w:r>
        <w:t xml:space="preserve">.</w:t>
      </w:r>
      <w:r>
        <w:t xml:space="preserve"> </w:t>
      </w:r>
      <w:hyperlink r:id="rId36">
        <w:r>
          <w:rPr>
            <w:rStyle w:val="Hyperlink"/>
          </w:rPr>
          <w:t xml:space="preserve">https://learn.microsoft.com/en-us/entra/identity/authentication/concept-authentication-strengths</w:t>
        </w:r>
      </w:hyperlink>
    </w:p>
  </w:footnote>
  <w:footnote w:id="3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How to configure certificate authorities for Microsoft Entra certificate-based authentication - Microsoft Entra ID</w:t>
      </w:r>
      <w:r>
        <w:t xml:space="preserve">.</w:t>
      </w:r>
      <w:r>
        <w:t xml:space="preserve"> </w:t>
      </w:r>
      <w:hyperlink r:id="rId39">
        <w:r>
          <w:rPr>
            <w:rStyle w:val="Hyperlink"/>
          </w:rPr>
          <w:t xml:space="preserve">https://learn.microsoft.com/en-us/entra/identity/authentication/how-to-configure-certificate-authorities</w:t>
        </w:r>
      </w:hyperlink>
    </w:p>
  </w:footnote>
  <w:footnote w:id="4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Set Up Microsoft Entra CBA - Microsoft Entra ID</w:t>
      </w:r>
      <w:r>
        <w:t xml:space="preserve">.</w:t>
      </w:r>
      <w:r>
        <w:t xml:space="preserve"> </w:t>
      </w:r>
      <w:hyperlink r:id="rId41">
        <w:r>
          <w:rPr>
            <w:rStyle w:val="Hyperlink"/>
          </w:rPr>
          <w:t xml:space="preserve">https://learn.microsoft.com/en-us/entra/identity/authentication/how-to-certificate-based-authentication</w:t>
        </w:r>
      </w:hyperlink>
    </w:p>
  </w:footnote>
  <w:footnote w:id="4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What is the Certification Authority Role Service in Windows Server?</w:t>
      </w:r>
      <w:r>
        <w:t xml:space="preserve">.</w:t>
      </w:r>
      <w:r>
        <w:t xml:space="preserve"> </w:t>
      </w:r>
      <w:hyperlink r:id="rId43">
        <w:r>
          <w:rPr>
            <w:rStyle w:val="Hyperlink"/>
          </w:rPr>
          <w:t xml:space="preserve">https://learn.microsoft.com/en-us/windows-server/identity/ad-cs/certification-authority-role</w:t>
        </w:r>
      </w:hyperlink>
    </w:p>
  </w:footnote>
  <w:footnote w:id="4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Microsoft Cloud PKI for Microsoft Intune - Microsoft Intune</w:t>
      </w:r>
      <w:r>
        <w:t xml:space="preserve">.</w:t>
      </w:r>
      <w:r>
        <w:t xml:space="preserve"> </w:t>
      </w:r>
      <w:hyperlink r:id="rId45">
        <w:r>
          <w:rPr>
            <w:rStyle w:val="Hyperlink"/>
          </w:rPr>
          <w:t xml:space="preserve">https://learn.microsoft.com/en-us/intune/cloud-pki/</w:t>
        </w:r>
      </w:hyperlink>
    </w:p>
  </w:footnote>
  <w:footnote w:id="4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What is Privileged Identity Management? - Microsoft Entra ID Governance</w:t>
      </w:r>
      <w:r>
        <w:t xml:space="preserve">.</w:t>
      </w:r>
      <w:r>
        <w:t xml:space="preserve"> </w:t>
      </w:r>
      <w:hyperlink r:id="rId48">
        <w:r>
          <w:rPr>
            <w:rStyle w:val="Hyperlink"/>
          </w:rPr>
          <w:t xml:space="preserve">https://learn.microsoft.com/en-us/entra/id-governance/privileged-identity-management/pim-configure</w:t>
        </w:r>
      </w:hyperlink>
    </w:p>
  </w:footnote>
  <w:footnote w:id="5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What are risk detections? - Microsoft Entra ID Protection</w:t>
      </w:r>
      <w:r>
        <w:t xml:space="preserve">.</w:t>
      </w:r>
      <w:r>
        <w:t xml:space="preserve"> </w:t>
      </w:r>
      <w:hyperlink r:id="rId51">
        <w:r>
          <w:rPr>
            <w:rStyle w:val="Hyperlink"/>
          </w:rPr>
          <w:t xml:space="preserve">https://learn.microsoft.com/en-us/entra/id-protection/concept-identity-protection-risks</w:t>
        </w:r>
      </w:hyperlink>
    </w:p>
  </w:footnote>
  <w:footnote w:id="5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Continuous access evaluation in Microsoft Entra - Microsoft Entra ID</w:t>
      </w:r>
      <w:r>
        <w:t xml:space="preserve">. Strict location enforcement is in public preview at the time of writing.</w:t>
      </w:r>
      <w:r>
        <w:t xml:space="preserve"> </w:t>
      </w:r>
      <w:hyperlink r:id="rId53">
        <w:r>
          <w:rPr>
            <w:rStyle w:val="Hyperlink"/>
          </w:rPr>
          <w:t xml:space="preserve">https://learn.microsoft.com/en-us/entra/identity/conditional-access/concept-continuous-access-evaluation</w:t>
        </w:r>
      </w:hyperlink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svg" /><Relationship Type="http://schemas.openxmlformats.org/officeDocument/2006/relationships/hyperlink" Id="rId58" Target="07-compute-transformation.md" TargetMode="External" /><Relationship Type="http://schemas.openxmlformats.org/officeDocument/2006/relationships/hyperlink" Id="rId59" Target="09-migration-roadmap.md" TargetMode="External" /><Relationship Type="http://schemas.openxmlformats.org/officeDocument/2006/relationships/hyperlink" Id="rId14" Target="https://csrc.nist.gov/pubs/sp/800/207/final" TargetMode="External" /><Relationship Type="http://schemas.openxmlformats.org/officeDocument/2006/relationships/hyperlink" Id="rId23" Target="https://learn.microsoft.com/en-us/entra/global-secure-access/overview-what-is-global-secure-access" TargetMode="External" /><Relationship Type="http://schemas.openxmlformats.org/officeDocument/2006/relationships/hyperlink" Id="rId48" Target="https://learn.microsoft.com/en-us/entra/id-governance/privileged-identity-management/pim-configure" TargetMode="External" /><Relationship Type="http://schemas.openxmlformats.org/officeDocument/2006/relationships/hyperlink" Id="rId51" Target="https://learn.microsoft.com/en-us/entra/id-protection/concept-identity-protection-risks" TargetMode="External" /><Relationship Type="http://schemas.openxmlformats.org/officeDocument/2006/relationships/hyperlink" Id="rId36" Target="https://learn.microsoft.com/en-us/entra/identity/authentication/concept-authentication-strengths" TargetMode="External" /><Relationship Type="http://schemas.openxmlformats.org/officeDocument/2006/relationships/hyperlink" Id="rId41" Target="https://learn.microsoft.com/en-us/entra/identity/authentication/how-to-certificate-based-authentication" TargetMode="External" /><Relationship Type="http://schemas.openxmlformats.org/officeDocument/2006/relationships/hyperlink" Id="rId39" Target="https://learn.microsoft.com/en-us/entra/identity/authentication/how-to-configure-certificate-authorities" TargetMode="External" /><Relationship Type="http://schemas.openxmlformats.org/officeDocument/2006/relationships/hyperlink" Id="rId32" Target="https://learn.microsoft.com/en-us/entra/identity/authentication/how-to-enable-authenticator-passkey" TargetMode="External" /><Relationship Type="http://schemas.openxmlformats.org/officeDocument/2006/relationships/hyperlink" Id="rId34" Target="https://learn.microsoft.com/en-us/entra/identity/authentication/how-to-mfa-number-match" TargetMode="External" /><Relationship Type="http://schemas.openxmlformats.org/officeDocument/2006/relationships/hyperlink" Id="rId53" Target="https://learn.microsoft.com/en-us/entra/identity/conditional-access/concept-continuous-access-evaluation" TargetMode="External" /><Relationship Type="http://schemas.openxmlformats.org/officeDocument/2006/relationships/hyperlink" Id="rId20" Target="https://learn.microsoft.com/en-us/entra/workload-id/workload-identity-federation" TargetMode="External" /><Relationship Type="http://schemas.openxmlformats.org/officeDocument/2006/relationships/hyperlink" Id="rId45" Target="https://learn.microsoft.com/en-us/intune/cloud-pki/" TargetMode="External" /><Relationship Type="http://schemas.openxmlformats.org/officeDocument/2006/relationships/hyperlink" Id="rId28" Target="https://learn.microsoft.com/en-us/intune/device-configuration/settings-catalog/configure-platform-sso-macos" TargetMode="External" /><Relationship Type="http://schemas.openxmlformats.org/officeDocument/2006/relationships/hyperlink" Id="rId16" Target="https://learn.microsoft.com/en-us/security/zero-trust/zero-trust-overview" TargetMode="External" /><Relationship Type="http://schemas.openxmlformats.org/officeDocument/2006/relationships/hyperlink" Id="rId43" Target="https://learn.microsoft.com/en-us/windows-server/identity/ad-cs/certification-authority-role" TargetMode="External" /><Relationship Type="http://schemas.openxmlformats.org/officeDocument/2006/relationships/hyperlink" Id="rId18" Target="https://learn.microsoft.com/en-us/windows-server/identity/ad-ds/manage/group-managed-service-accounts/group-managed-service-accounts/group-managed-service-accounts-overview" TargetMode="External" /><Relationship Type="http://schemas.openxmlformats.org/officeDocument/2006/relationships/hyperlink" Id="rId30" Target="https://learn.microsoft.com/en-us/windows/security/identity-protection/hello-for-business/" TargetMode="External" /><Relationship Type="http://schemas.openxmlformats.org/officeDocument/2006/relationships/hyperlink" Id="rId26" Target="https://www.whitehouse.gov/wp-content/uploads/2022/01/M-22-09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8" Target="07-compute-transformation.md" TargetMode="External" /><Relationship Type="http://schemas.openxmlformats.org/officeDocument/2006/relationships/hyperlink" Id="rId59" Target="09-migration-roadmap.md" TargetMode="External" /><Relationship Type="http://schemas.openxmlformats.org/officeDocument/2006/relationships/hyperlink" Id="rId14" Target="https://csrc.nist.gov/pubs/sp/800/207/final" TargetMode="External" /><Relationship Type="http://schemas.openxmlformats.org/officeDocument/2006/relationships/hyperlink" Id="rId23" Target="https://learn.microsoft.com/en-us/entra/global-secure-access/overview-what-is-global-secure-access" TargetMode="External" /><Relationship Type="http://schemas.openxmlformats.org/officeDocument/2006/relationships/hyperlink" Id="rId48" Target="https://learn.microsoft.com/en-us/entra/id-governance/privileged-identity-management/pim-configure" TargetMode="External" /><Relationship Type="http://schemas.openxmlformats.org/officeDocument/2006/relationships/hyperlink" Id="rId51" Target="https://learn.microsoft.com/en-us/entra/id-protection/concept-identity-protection-risks" TargetMode="External" /><Relationship Type="http://schemas.openxmlformats.org/officeDocument/2006/relationships/hyperlink" Id="rId36" Target="https://learn.microsoft.com/en-us/entra/identity/authentication/concept-authentication-strengths" TargetMode="External" /><Relationship Type="http://schemas.openxmlformats.org/officeDocument/2006/relationships/hyperlink" Id="rId41" Target="https://learn.microsoft.com/en-us/entra/identity/authentication/how-to-certificate-based-authentication" TargetMode="External" /><Relationship Type="http://schemas.openxmlformats.org/officeDocument/2006/relationships/hyperlink" Id="rId39" Target="https://learn.microsoft.com/en-us/entra/identity/authentication/how-to-configure-certificate-authorities" TargetMode="External" /><Relationship Type="http://schemas.openxmlformats.org/officeDocument/2006/relationships/hyperlink" Id="rId32" Target="https://learn.microsoft.com/en-us/entra/identity/authentication/how-to-enable-authenticator-passkey" TargetMode="External" /><Relationship Type="http://schemas.openxmlformats.org/officeDocument/2006/relationships/hyperlink" Id="rId34" Target="https://learn.microsoft.com/en-us/entra/identity/authentication/how-to-mfa-number-match" TargetMode="External" /><Relationship Type="http://schemas.openxmlformats.org/officeDocument/2006/relationships/hyperlink" Id="rId53" Target="https://learn.microsoft.com/en-us/entra/identity/conditional-access/concept-continuous-access-evaluation" TargetMode="External" /><Relationship Type="http://schemas.openxmlformats.org/officeDocument/2006/relationships/hyperlink" Id="rId20" Target="https://learn.microsoft.com/en-us/entra/workload-id/workload-identity-federation" TargetMode="External" /><Relationship Type="http://schemas.openxmlformats.org/officeDocument/2006/relationships/hyperlink" Id="rId45" Target="https://learn.microsoft.com/en-us/intune/cloud-pki/" TargetMode="External" /><Relationship Type="http://schemas.openxmlformats.org/officeDocument/2006/relationships/hyperlink" Id="rId28" Target="https://learn.microsoft.com/en-us/intune/device-configuration/settings-catalog/configure-platform-sso-macos" TargetMode="External" /><Relationship Type="http://schemas.openxmlformats.org/officeDocument/2006/relationships/hyperlink" Id="rId16" Target="https://learn.microsoft.com/en-us/security/zero-trust/zero-trust-overview" TargetMode="External" /><Relationship Type="http://schemas.openxmlformats.org/officeDocument/2006/relationships/hyperlink" Id="rId43" Target="https://learn.microsoft.com/en-us/windows-server/identity/ad-cs/certification-authority-role" TargetMode="External" /><Relationship Type="http://schemas.openxmlformats.org/officeDocument/2006/relationships/hyperlink" Id="rId18" Target="https://learn.microsoft.com/en-us/windows-server/identity/ad-ds/manage/group-managed-service-accounts/group-managed-service-accounts/group-managed-service-accounts-overview" TargetMode="External" /><Relationship Type="http://schemas.openxmlformats.org/officeDocument/2006/relationships/hyperlink" Id="rId30" Target="https://learn.microsoft.com/en-us/windows/security/identity-protection/hello-for-business/" TargetMode="External" /><Relationship Type="http://schemas.openxmlformats.org/officeDocument/2006/relationships/hyperlink" Id="rId26" Target="https://www.whitehouse.gov/wp-content/uploads/2022/01/M-22-09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2026-10-19T10:09:38Z</dcterms:created>
  <dcterms:modified xsi:type="dcterms:W3CDTF">2026-10-19T10:09:38Z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