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2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0" w:name="Xc9e5fe804d75ab397ae4fbfd9f32e665324849e"/>
    <w:p>
      <w:pPr>
        <w:pStyle w:val="Heading1"/>
      </w:pPr>
      <w:r>
        <w:t xml:space="preserve">Microsoft Client-Server to Hybrid-Cloud Transformation</w:t>
      </w:r>
    </w:p>
    <w:p>
      <w:pPr>
        <w:pStyle w:val="CaptionedFigure"/>
      </w:pPr>
      <w:r>
        <w:drawing>
          <wp:inline>
            <wp:extent cx="5334000" cy="3578225"/>
            <wp:effectExtent b="0" l="0" r="0" t="0"/>
            <wp:docPr descr="Client-Server to Hybrid-Cloud Cover" title="" id="10" name="Picture"/>
            <a:graphic>
              <a:graphicData uri="http://schemas.openxmlformats.org/drawingml/2006/picture">
                <pic:pic>
                  <pic:nvPicPr>
                    <pic:cNvPr descr="../images/cshc/cover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8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Client-Server to Hybrid-Cloud Cover</w:t>
      </w:r>
    </w:p>
    <w:p>
      <w:pPr>
        <w:pStyle w:val="BodyText"/>
      </w:pPr>
      <w:r>
        <w:rPr>
          <w:b/>
          <w:bCs/>
        </w:rPr>
        <w:t xml:space="preserve">AD, GPO, DNS, DHCP, Kerberos, and PKI → Entra ID, Intune, Azure Arc, IPAM, SASE, and Zero Trust</w:t>
      </w:r>
    </w:p>
    <w:p>
      <w:pPr>
        <w:pStyle w:val="BodyText"/>
      </w:pPr>
      <w:r>
        <w:t xml:space="preserve">An eleven-chapter narrative (Chapters 00–10) covering the end-to-end transformation from a Client/Server-era Active Directory forest through analysis, planning, and delivery to a governed Hybrid-Cloud estate.</w:t>
      </w:r>
    </w:p>
    <w:p>
      <w:pPr>
        <w:pStyle w:val="CaptionedFigure"/>
      </w:pPr>
      <w:r>
        <w:drawing>
          <wp:inline>
            <wp:extent cx="5334000" cy="1333500"/>
            <wp:effectExtent b="0" l="0" r="0" t="0"/>
            <wp:docPr descr="Transformation Overview" title="" id="13" name="Picture"/>
            <a:graphic>
              <a:graphicData uri="http://schemas.openxmlformats.org/drawingml/2006/picture">
                <pic:pic>
                  <pic:nvPicPr>
                    <pic:cNvPr descr="../images/cshc/transformation-overview.svg" id="1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Transformation Overview</w:t>
      </w:r>
    </w:p>
    <w:bookmarkStart w:id="15" w:name="why-this-series-exists"/>
    <w:p>
      <w:pPr>
        <w:pStyle w:val="Heading2"/>
      </w:pPr>
      <w:r>
        <w:t xml:space="preserve">Why this series exists</w:t>
      </w:r>
    </w:p>
    <w:p>
      <w:pPr>
        <w:pStyle w:val="FirstParagraph"/>
      </w:pPr>
      <w:r>
        <w:t xml:space="preserve">Most modernization guides answer narrow questions. This series answers the large one:</w:t>
      </w:r>
      <w:r>
        <w:t xml:space="preserve"> </w:t>
      </w:r>
      <w:r>
        <w:rPr>
          <w:i/>
          <w:iCs/>
        </w:rPr>
        <w:t xml:space="preserve">We have an AD forest. Where are we going, how do we get there, and what does the finished state look like?</w:t>
      </w:r>
    </w:p>
    <w:bookmarkEnd w:id="15"/>
    <w:bookmarkStart w:id="37" w:name="the-arc"/>
    <w:p>
      <w:pPr>
        <w:pStyle w:val="Heading2"/>
      </w:pPr>
      <w:r>
        <w:t xml:space="preserve">The arc</w:t>
      </w:r>
    </w:p>
    <w:p>
      <w:pPr>
        <w:pStyle w:val="FirstParagraph"/>
      </w:pPr>
      <w:r>
        <w:t xml:space="preserve">The series follows a five-part path through eleven chapters (00–10). Read the</w:t>
      </w:r>
      <w:r>
        <w:t xml:space="preserve"> </w:t>
      </w:r>
      <w:hyperlink r:id="rId16">
        <w:r>
          <w:rPr>
            <w:rStyle w:val="Hyperlink"/>
          </w:rPr>
          <w:t xml:space="preserve">applicability and scope note</w:t>
        </w:r>
      </w:hyperlink>
      <w:r>
        <w:t xml:space="preserve"> </w:t>
      </w:r>
      <w:r>
        <w:t xml:space="preserve">first: the target state assumes Microsoft commercial cloud services (Commercial or GCC-Moderate).</w:t>
      </w:r>
    </w:p>
    <w:bookmarkStart w:id="18" w:name="before-you-start"/>
    <w:p>
      <w:pPr>
        <w:pStyle w:val="Heading3"/>
      </w:pPr>
      <w:r>
        <w:t xml:space="preserve">Before you start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  <w:b/>
            <w:bCs/>
          </w:rPr>
          <w:t xml:space="preserve">Prologue — Why Modernization Is Hard</w:t>
        </w:r>
      </w:hyperlink>
      <w:r>
        <w:t xml:space="preserve"> </w:t>
      </w:r>
      <w:r>
        <w:t xml:space="preserve">— Plain-language version of the argument, written for leadership and budget readers.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  <w:b/>
            <w:bCs/>
          </w:rPr>
          <w:t xml:space="preserve">Applicability and scope</w:t>
        </w:r>
      </w:hyperlink>
      <w:r>
        <w:t xml:space="preserve"> </w:t>
      </w:r>
      <w:r>
        <w:t xml:space="preserve">— Which clouds, environments, and Windows versions the target state assumes, and where it does not apply.</w:t>
      </w:r>
    </w:p>
    <w:bookmarkEnd w:id="18"/>
    <w:bookmarkStart w:id="21" w:name="part-i-platform"/>
    <w:p>
      <w:pPr>
        <w:pStyle w:val="Heading3"/>
      </w:pPr>
      <w:r>
        <w:t xml:space="preserve">Part I · Platform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  <w:b/>
            <w:bCs/>
          </w:rPr>
          <w:t xml:space="preserve">00 — The Problem: AD’s Hidden Governance Surface</w:t>
        </w:r>
      </w:hyperlink>
      <w:r>
        <w:t xml:space="preserve"> </w:t>
      </w:r>
      <w:r>
        <w:t xml:space="preserve">— Why AD modernization fails when the focus is only users and groups.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  <w:b/>
            <w:bCs/>
          </w:rPr>
          <w:t xml:space="preserve">01 — Platform Foundation</w:t>
        </w:r>
      </w:hyperlink>
      <w:r>
        <w:t xml:space="preserve"> </w:t>
      </w:r>
      <w:r>
        <w:t xml:space="preserve">— A single Windows Server 2025 host that can read the legacy estate and write to cloud targets (IIS, version control, Kerberos bridge, enterprise PKI, automation).</w:t>
      </w:r>
    </w:p>
    <w:bookmarkEnd w:id="21"/>
    <w:bookmarkStart w:id="24" w:name="part-ii-transformation-engine"/>
    <w:p>
      <w:pPr>
        <w:pStyle w:val="Heading3"/>
      </w:pPr>
      <w:r>
        <w:t xml:space="preserve">Part II · Transformation Engine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  <w:b/>
            <w:bCs/>
          </w:rPr>
          <w:t xml:space="preserve">02 — Analyzing the Client/Server Estate</w:t>
        </w:r>
      </w:hyperlink>
      <w:r>
        <w:t xml:space="preserve"> </w:t>
      </w:r>
      <w:r>
        <w:t xml:space="preserve">— Forest discovery, GPO inventory, DNS/DHCP scraping, Kerberos SPN audit, certificate services analysis.</w:t>
      </w:r>
    </w:p>
    <w:p>
      <w:pPr>
        <w:pStyle w:val="Compact"/>
        <w:numPr>
          <w:ilvl w:val="0"/>
          <w:numId w:val="1003"/>
        </w:numPr>
      </w:pPr>
      <w:hyperlink r:id="rId23">
        <w:r>
          <w:rPr>
            <w:rStyle w:val="Hyperlink"/>
            <w:b/>
            <w:bCs/>
          </w:rPr>
          <w:t xml:space="preserve">03 — Analysis → Plan → Delivery</w:t>
        </w:r>
      </w:hyperlink>
      <w:r>
        <w:t xml:space="preserve"> </w:t>
      </w:r>
      <w:r>
        <w:t xml:space="preserve">— Turning assessment output into a deterministic transformation plan, validating it, and delivering it under controlled change.</w:t>
      </w:r>
    </w:p>
    <w:bookmarkEnd w:id="24"/>
    <w:bookmarkStart w:id="29" w:name="part-iii-target-delivery"/>
    <w:p>
      <w:pPr>
        <w:pStyle w:val="Heading3"/>
      </w:pPr>
      <w:r>
        <w:t xml:space="preserve">Part III · Target Delivery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  <w:b/>
            <w:bCs/>
          </w:rPr>
          <w:t xml:space="preserve">04 — Identity: Hierarchical Directory → Flat Cloud Identity + Attribute-Driven Structure</w:t>
        </w:r>
      </w:hyperlink>
      <w:r>
        <w:t xml:space="preserve"> </w:t>
      </w:r>
      <w:r>
        <w:t xml:space="preserve">— Reconstructing organizational hierarchy, dynamic groups, administrative units, and HR-driven lifecycle.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  <w:b/>
            <w:bCs/>
          </w:rPr>
          <w:t xml:space="preserve">05 — Policy: GPO → Intune + Conditional Access</w:t>
        </w:r>
      </w:hyperlink>
      <w:r>
        <w:t xml:space="preserve"> </w:t>
      </w:r>
      <w:r>
        <w:t xml:space="preserve">— Device policy, compliance, configuration profiles, MFA, and policy targeting.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  <w:b/>
            <w:bCs/>
          </w:rPr>
          <w:t xml:space="preserve">06 — Services: DNS, DHCP, IPAM in Hybrid Cloud</w:t>
        </w:r>
      </w:hyperlink>
      <w:r>
        <w:t xml:space="preserve"> </w:t>
      </w:r>
      <w:r>
        <w:t xml:space="preserve">— AD-integrated DNS → private resolution; AD DHCP → governed IP address management.</w:t>
      </w:r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  <w:b/>
            <w:bCs/>
          </w:rPr>
          <w:t xml:space="preserve">07 — Compute: Domain-Joined → Cloud Identity + Device Management + Arc</w:t>
        </w:r>
      </w:hyperlink>
      <w:r>
        <w:t xml:space="preserve"> </w:t>
      </w:r>
      <w:r>
        <w:t xml:space="preserve">— Device object transformation, hybrid join, Arc-projected servers.</w:t>
      </w:r>
    </w:p>
    <w:bookmarkEnd w:id="29"/>
    <w:bookmarkStart w:id="31" w:name="part-iv-hybrid-access-plane"/>
    <w:p>
      <w:pPr>
        <w:pStyle w:val="Heading3"/>
      </w:pPr>
      <w:r>
        <w:t xml:space="preserve">Part IV · Hybrid Access Plane</w:t>
      </w:r>
    </w:p>
    <w:p>
      <w:pPr>
        <w:pStyle w:val="Compact"/>
        <w:numPr>
          <w:ilvl w:val="0"/>
          <w:numId w:val="1005"/>
        </w:numPr>
      </w:pPr>
      <w:hyperlink r:id="rId30">
        <w:r>
          <w:rPr>
            <w:rStyle w:val="Hyperlink"/>
            <w:b/>
            <w:bCs/>
          </w:rPr>
          <w:t xml:space="preserve">08 — SASE, Zero Trust, MFA, Certificate-Based Auth</w:t>
        </w:r>
      </w:hyperlink>
      <w:r>
        <w:t xml:space="preserve"> </w:t>
      </w:r>
      <w:r>
        <w:t xml:space="preserve">— The identity-bound access plane that replaces the AD perimeter.</w:t>
      </w:r>
    </w:p>
    <w:bookmarkEnd w:id="31"/>
    <w:bookmarkStart w:id="34" w:name="part-v-program"/>
    <w:p>
      <w:pPr>
        <w:pStyle w:val="Heading3"/>
      </w:pPr>
      <w:r>
        <w:t xml:space="preserve">Part V · Program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  <w:b/>
            <w:bCs/>
          </w:rPr>
          <w:t xml:space="preserve">09 — Migration Roadmap</w:t>
        </w:r>
      </w:hyperlink>
      <w:r>
        <w:t xml:space="preserve"> </w:t>
      </w:r>
      <w:r>
        <w:t xml:space="preserve">— Phased plan, gates, rollback triggers, cutover.</w:t>
      </w:r>
    </w:p>
    <w:p>
      <w:pPr>
        <w:pStyle w:val="Compact"/>
        <w:numPr>
          <w:ilvl w:val="0"/>
          <w:numId w:val="1006"/>
        </w:numPr>
      </w:pPr>
      <w:hyperlink r:id="rId33">
        <w:r>
          <w:rPr>
            <w:rStyle w:val="Hyperlink"/>
            <w:b/>
            <w:bCs/>
          </w:rPr>
          <w:t xml:space="preserve">10 — Leadership Takeaway</w:t>
        </w:r>
      </w:hyperlink>
      <w:r>
        <w:t xml:space="preserve"> </w:t>
      </w:r>
      <w:r>
        <w:t xml:space="preserve">— Instruments versus orchestra: what the framework is and how to evaluate it.</w:t>
      </w:r>
    </w:p>
    <w:bookmarkEnd w:id="34"/>
    <w:bookmarkStart w:id="36" w:name="appendix"/>
    <w:p>
      <w:pPr>
        <w:pStyle w:val="Heading3"/>
      </w:pPr>
      <w:r>
        <w:t xml:space="preserve">Appendix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  <w:b/>
            <w:bCs/>
          </w:rPr>
          <w:t xml:space="preserve">Appendix A — Federal Requirements Mapping</w:t>
        </w:r>
      </w:hyperlink>
      <w:r>
        <w:t xml:space="preserve"> </w:t>
      </w:r>
      <w:r>
        <w:t xml:space="preserve">— M-22-09, CISA ZTMM v2, NIST SP 800-207, and NIST SP 800-53 Rev. 5.</w:t>
      </w:r>
    </w:p>
    <w:bookmarkEnd w:id="36"/>
    <w:bookmarkEnd w:id="37"/>
    <w:bookmarkStart w:id="38" w:name="how-to-read-this-series"/>
    <w:p>
      <w:pPr>
        <w:pStyle w:val="Heading2"/>
      </w:pPr>
      <w:r>
        <w:t xml:space="preserve">How to read this series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Audience</w:t>
            </w:r>
          </w:p>
        </w:tc>
        <w:tc>
          <w:tcPr/>
          <w:p>
            <w:pPr>
              <w:pStyle w:val="Compact"/>
            </w:pPr>
            <w:r>
              <w:t xml:space="preserve">Recommended path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CIO / CISO / program sponsor</w:t>
            </w:r>
          </w:p>
        </w:tc>
        <w:tc>
          <w:tcPr/>
          <w:p>
            <w:pPr>
              <w:pStyle w:val="Compact"/>
            </w:pPr>
            <w:r>
              <w:t xml:space="preserve">Prologue → 00 → 10 → 09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 architect</w:t>
            </w:r>
          </w:p>
        </w:tc>
        <w:tc>
          <w:tcPr/>
          <w:p>
            <w:pPr>
              <w:pStyle w:val="Compact"/>
            </w:pPr>
            <w:r>
              <w:t xml:space="preserve">00 → 04 → 05 → 08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Infrastructure architect</w:t>
            </w:r>
          </w:p>
        </w:tc>
        <w:tc>
          <w:tcPr/>
          <w:p>
            <w:pPr>
              <w:pStyle w:val="Compact"/>
            </w:pPr>
            <w:r>
              <w:t xml:space="preserve">00 → 01 → 06 → 07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Modernization program manager</w:t>
            </w:r>
          </w:p>
        </w:tc>
        <w:tc>
          <w:tcPr/>
          <w:p>
            <w:pPr>
              <w:pStyle w:val="Compact"/>
            </w:pPr>
            <w:r>
              <w:t xml:space="preserve">00 → 03 → 09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 engineer</w:t>
            </w:r>
          </w:p>
        </w:tc>
        <w:tc>
          <w:tcPr/>
          <w:p>
            <w:pPr>
              <w:pStyle w:val="Compact"/>
            </w:pPr>
            <w:r>
              <w:t xml:space="preserve">01 → 02 → 03</w:t>
            </w:r>
          </w:p>
        </w:tc>
      </w:tr>
    </w:tbl>
    <w:bookmarkEnd w:id="38"/>
    <w:bookmarkStart w:id="39" w:name="source-note"/>
    <w:p>
      <w:pPr>
        <w:pStyle w:val="Heading2"/>
      </w:pPr>
      <w:r>
        <w:t xml:space="preserve">Source note</w:t>
      </w:r>
    </w:p>
    <w:p>
      <w:pPr>
        <w:pStyle w:val="FirstParagraph"/>
      </w:pPr>
      <w:r>
        <w:t xml:space="preserve">This series is a cleaned extraction of the original Client-Server to Hybrid-Cloud narrative. Branding, internal architectural decision records, document identifiers, and substrate-specific references have been removed so the material can be used directly as modernization project guidance.</w:t>
      </w:r>
    </w:p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2" Target="media/rId12.svg" /><Relationship Type="http://schemas.openxmlformats.org/officeDocument/2006/relationships/hyperlink" Id="rId17" Target="00-prologue-why-modernization-is-hard.md" TargetMode="External" /><Relationship Type="http://schemas.openxmlformats.org/officeDocument/2006/relationships/hyperlink" Id="rId19" Target="00-the-problem.md" TargetMode="External" /><Relationship Type="http://schemas.openxmlformats.org/officeDocument/2006/relationships/hyperlink" Id="rId16" Target="00a-applicability.md" TargetMode="External" /><Relationship Type="http://schemas.openxmlformats.org/officeDocument/2006/relationships/hyperlink" Id="rId20" Target="01-platform-foundation.md" TargetMode="External" /><Relationship Type="http://schemas.openxmlformats.org/officeDocument/2006/relationships/hyperlink" Id="rId22" Target="02-analyzing-the-estate.md" TargetMode="External" /><Relationship Type="http://schemas.openxmlformats.org/officeDocument/2006/relationships/hyperlink" Id="rId23" Target="03-analysis-plan-delivery.md" TargetMode="External" /><Relationship Type="http://schemas.openxmlformats.org/officeDocument/2006/relationships/hyperlink" Id="rId25" Target="04-identity-transformation.md" TargetMode="External" /><Relationship Type="http://schemas.openxmlformats.org/officeDocument/2006/relationships/hyperlink" Id="rId26" Target="05-policy-transformation.md" TargetMode="External" /><Relationship Type="http://schemas.openxmlformats.org/officeDocument/2006/relationships/hyperlink" Id="rId27" Target="06-network-services.md" TargetMode="External" /><Relationship Type="http://schemas.openxmlformats.org/officeDocument/2006/relationships/hyperlink" Id="rId28" Target="07-compute-transformation.md" TargetMode="External" /><Relationship Type="http://schemas.openxmlformats.org/officeDocument/2006/relationships/hyperlink" Id="rId30" Target="08-access-plane.md" TargetMode="External" /><Relationship Type="http://schemas.openxmlformats.org/officeDocument/2006/relationships/hyperlink" Id="rId32" Target="09-migration-roadmap.md" TargetMode="External" /><Relationship Type="http://schemas.openxmlformats.org/officeDocument/2006/relationships/hyperlink" Id="rId33" Target="10-leadership-takeaway.md" TargetMode="External" /><Relationship Type="http://schemas.openxmlformats.org/officeDocument/2006/relationships/hyperlink" Id="rId35" Target="appendix-a-requirements-mapping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00-prologue-why-modernization-is-hard.md" TargetMode="External" /><Relationship Type="http://schemas.openxmlformats.org/officeDocument/2006/relationships/hyperlink" Id="rId19" Target="00-the-problem.md" TargetMode="External" /><Relationship Type="http://schemas.openxmlformats.org/officeDocument/2006/relationships/hyperlink" Id="rId16" Target="00a-applicability.md" TargetMode="External" /><Relationship Type="http://schemas.openxmlformats.org/officeDocument/2006/relationships/hyperlink" Id="rId20" Target="01-platform-foundation.md" TargetMode="External" /><Relationship Type="http://schemas.openxmlformats.org/officeDocument/2006/relationships/hyperlink" Id="rId22" Target="02-analyzing-the-estate.md" TargetMode="External" /><Relationship Type="http://schemas.openxmlformats.org/officeDocument/2006/relationships/hyperlink" Id="rId23" Target="03-analysis-plan-delivery.md" TargetMode="External" /><Relationship Type="http://schemas.openxmlformats.org/officeDocument/2006/relationships/hyperlink" Id="rId25" Target="04-identity-transformation.md" TargetMode="External" /><Relationship Type="http://schemas.openxmlformats.org/officeDocument/2006/relationships/hyperlink" Id="rId26" Target="05-policy-transformation.md" TargetMode="External" /><Relationship Type="http://schemas.openxmlformats.org/officeDocument/2006/relationships/hyperlink" Id="rId27" Target="06-network-services.md" TargetMode="External" /><Relationship Type="http://schemas.openxmlformats.org/officeDocument/2006/relationships/hyperlink" Id="rId28" Target="07-compute-transformation.md" TargetMode="External" /><Relationship Type="http://schemas.openxmlformats.org/officeDocument/2006/relationships/hyperlink" Id="rId30" Target="08-access-plane.md" TargetMode="External" /><Relationship Type="http://schemas.openxmlformats.org/officeDocument/2006/relationships/hyperlink" Id="rId32" Target="09-migration-roadmap.md" TargetMode="External" /><Relationship Type="http://schemas.openxmlformats.org/officeDocument/2006/relationships/hyperlink" Id="rId33" Target="10-leadership-takeaway.md" TargetMode="External" /><Relationship Type="http://schemas.openxmlformats.org/officeDocument/2006/relationships/hyperlink" Id="rId35" Target="appendix-a-requirements-mapping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2026-10-19T10:12:02Z</dcterms:created>
  <dcterms:modified xsi:type="dcterms:W3CDTF">2026-10-19T10:12:02Z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