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appendix-a-federal-requirements-mapping"/>
    <w:p>
      <w:pPr>
        <w:pStyle w:val="Heading1"/>
      </w:pPr>
      <w:r>
        <w:t xml:space="preserve">Appendix A — Federal Requirements Mapping</w:t>
      </w:r>
    </w:p>
    <w:p>
      <w:pPr>
        <w:pStyle w:val="FirstParagraph"/>
      </w:pPr>
      <w:r>
        <w:rPr>
          <w:b/>
          <w:bCs/>
        </w:rPr>
        <w:t xml:space="preserve">How the series’ outcomes line up with OMB M-22-09, the CISA Zero Trust Maturity Model v2, NIST SP 800-207, and NIST SP 800-53 Rev. 5</w:t>
      </w:r>
    </w:p>
    <w:p>
      <w:pPr>
        <w:pStyle w:val="BodyText"/>
      </w:pPr>
      <w:r>
        <w:t xml:space="preserve">This appendix is</w:t>
      </w:r>
      <w:r>
        <w:t xml:space="preserve"> </w:t>
      </w:r>
      <w:r>
        <w:rPr>
          <w:b/>
          <w:bCs/>
        </w:rPr>
        <w:t xml:space="preserve">compliance-enabling, not compliance-certifying</w:t>
      </w:r>
      <w:r>
        <w:t xml:space="preserve">. It shows where the work in each chapter produces evidence an agency can use toward these requirements. Whether a control is satisfied depends on the agency’s own system boundary, implementation, and assessor.</w:t>
      </w:r>
    </w:p>
    <w:bookmarkStart w:id="11" w:name="omb-m-22-09-goalscsap-m2209"/>
    <w:p>
      <w:pPr>
        <w:pStyle w:val="Heading2"/>
      </w:pPr>
      <w:r>
        <w:t xml:space="preserve">OMB M-22-09 goals</w:t>
      </w:r>
      <w:r>
        <w:rPr>
          <w:rStyle w:val="FootnoteReference"/>
        </w:rPr>
        <w:footnoteReference w:id="9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M-22-09 area</w:t>
            </w:r>
          </w:p>
        </w:tc>
        <w:tc>
          <w:tcPr/>
          <w:p>
            <w:pPr>
              <w:pStyle w:val="Compact"/>
            </w:pPr>
            <w:r>
              <w:t xml:space="preserve">Requirement (summarized)</w:t>
            </w:r>
          </w:p>
        </w:tc>
        <w:tc>
          <w:tcPr/>
          <w:p>
            <w:pPr>
              <w:pStyle w:val="Compact"/>
            </w:pPr>
            <w:r>
              <w:t xml:space="preserve">Where the series contributes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Agency-managed identity systems; phishing-resistant MFA for staff, contractors, and partners; no password rotation or special-character rules</w:t>
            </w:r>
          </w:p>
        </w:tc>
        <w:tc>
          <w:tcPr/>
          <w:p>
            <w:pPr>
              <w:pStyle w:val="Compact"/>
            </w:pPr>
            <w:r>
              <w:t xml:space="preserve">Ch 04 (Entra ID as the authoritative directory), Ch 08 (phishing-resistant methods, CBA with PIV/CAC)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Devices</w:t>
            </w:r>
          </w:p>
        </w:tc>
        <w:tc>
          <w:tcPr/>
          <w:p>
            <w:pPr>
              <w:pStyle w:val="Compact"/>
            </w:pPr>
            <w:r>
              <w:t xml:space="preserve">A complete inventory of every device the agency operates; device-level signals in access decisions</w:t>
            </w:r>
          </w:p>
        </w:tc>
        <w:tc>
          <w:tcPr/>
          <w:p>
            <w:pPr>
              <w:pStyle w:val="Compact"/>
            </w:pPr>
            <w:r>
              <w:t xml:space="preserve">Ch 02 (computer inventory), Ch 05 (compliance policies feeding Conditional Access), Ch 07 (Entra join, Arc)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Networks</w:t>
            </w:r>
          </w:p>
        </w:tc>
        <w:tc>
          <w:tcPr/>
          <w:p>
            <w:pPr>
              <w:pStyle w:val="Compact"/>
            </w:pPr>
            <w:r>
              <w:t xml:space="preserve">Encrypt DNS and HTTP traffic where possible; stop relying on network location for trust</w:t>
            </w:r>
          </w:p>
        </w:tc>
        <w:tc>
          <w:tcPr/>
          <w:p>
            <w:pPr>
              <w:pStyle w:val="Compact"/>
            </w:pPr>
            <w:r>
              <w:t xml:space="preserve">Ch 06 (DNS governance; encrypted DNS is not designed here, so treat it as a gap), Ch 08 (ZTNA in place of VPN)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Applications and workloads</w:t>
            </w:r>
          </w:p>
        </w:tc>
        <w:tc>
          <w:tcPr/>
          <w:p>
            <w:pPr>
              <w:pStyle w:val="Compact"/>
            </w:pPr>
            <w:r>
              <w:t xml:space="preserve">Treat applications as internet-connected; enterprise identity in front of every application</w:t>
            </w:r>
          </w:p>
        </w:tc>
        <w:tc>
          <w:tcPr/>
          <w:p>
            <w:pPr>
              <w:pStyle w:val="Compact"/>
            </w:pPr>
            <w:r>
              <w:t xml:space="preserve">Ch 07 (Kerberos/SPN retirement, modern authentication), Ch 08 (SASE/ZTNA)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Categorize data; monitor access</w:t>
            </w:r>
          </w:p>
        </w:tc>
        <w:tc>
          <w:tcPr/>
          <w:p>
            <w:pPr>
              <w:pStyle w:val="Compact"/>
            </w:pPr>
            <w:r>
              <w:t xml:space="preserve">Out of scope for this series</w:t>
            </w:r>
          </w:p>
        </w:tc>
      </w:tr>
    </w:tbl>
    <w:bookmarkEnd w:id="11"/>
    <w:bookmarkStart w:id="14" w:name="X8e67ed1d469508e42af99a08612d0862ae0efe8"/>
    <w:p>
      <w:pPr>
        <w:pStyle w:val="Heading2"/>
      </w:pPr>
      <w:r>
        <w:t xml:space="preserve">CISA Zero Trust Maturity Model v2 pillars</w:t>
      </w:r>
      <w:r>
        <w:rPr>
          <w:rStyle w:val="FootnoteReference"/>
        </w:rPr>
        <w:footnoteReference w:id="12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Pillar / capability</w:t>
            </w:r>
          </w:p>
        </w:tc>
        <w:tc>
          <w:tcPr/>
          <w:p>
            <w:pPr>
              <w:pStyle w:val="Compact"/>
            </w:pPr>
            <w:r>
              <w:t xml:space="preserve">Series chapters</w:t>
            </w:r>
          </w:p>
        </w:tc>
        <w:tc>
          <w:tcPr/>
          <w:p>
            <w:pPr>
              <w:pStyle w:val="Compact"/>
            </w:pPr>
            <w:r>
              <w:t xml:space="preserve">Typical maturity movement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04, 08</w:t>
            </w:r>
          </w:p>
        </w:tc>
        <w:tc>
          <w:tcPr/>
          <w:p>
            <w:pPr>
              <w:pStyle w:val="Compact"/>
            </w:pPr>
            <w:r>
              <w:t xml:space="preserve">Traditional → Advanced: centralized identity, phishing-resistant MFA, automated lifecycle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Devices</w:t>
            </w:r>
          </w:p>
        </w:tc>
        <w:tc>
          <w:tcPr/>
          <w:p>
            <w:pPr>
              <w:pStyle w:val="Compact"/>
            </w:pPr>
            <w:r>
              <w:t xml:space="preserve">05, 07</w:t>
            </w:r>
          </w:p>
        </w:tc>
        <w:tc>
          <w:tcPr/>
          <w:p>
            <w:pPr>
              <w:pStyle w:val="Compact"/>
            </w:pPr>
            <w:r>
              <w:t xml:space="preserve">Traditional → Advanced: managed and compliant devices as an access condition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Networks</w:t>
            </w:r>
          </w:p>
        </w:tc>
        <w:tc>
          <w:tcPr/>
          <w:p>
            <w:pPr>
              <w:pStyle w:val="Compact"/>
            </w:pPr>
            <w:r>
              <w:t xml:space="preserve">06, 08</w:t>
            </w:r>
          </w:p>
        </w:tc>
        <w:tc>
          <w:tcPr/>
          <w:p>
            <w:pPr>
              <w:pStyle w:val="Compact"/>
            </w:pPr>
            <w:r>
              <w:t xml:space="preserve">Traditional → Initial/Advanced: identity-based access in place of the perimeter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Applications and workloads</w:t>
            </w:r>
          </w:p>
        </w:tc>
        <w:tc>
          <w:tcPr/>
          <w:p>
            <w:pPr>
              <w:pStyle w:val="Compact"/>
            </w:pPr>
            <w:r>
              <w:t xml:space="preserve">07, 08</w:t>
            </w:r>
          </w:p>
        </w:tc>
        <w:tc>
          <w:tcPr/>
          <w:p>
            <w:pPr>
              <w:pStyle w:val="Compact"/>
            </w:pPr>
            <w:r>
              <w:t xml:space="preserve">Traditional → Initial: modern authentication; Kerberos islands documented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Not addressed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Visibility and analytics (cross-cutting)</w:t>
            </w:r>
          </w:p>
        </w:tc>
        <w:tc>
          <w:tcPr/>
          <w:p>
            <w:pPr>
              <w:pStyle w:val="Compact"/>
            </w:pPr>
            <w:r>
              <w:t xml:space="preserve">03, 09</w:t>
            </w:r>
          </w:p>
        </w:tc>
        <w:tc>
          <w:tcPr/>
          <w:p>
            <w:pPr>
              <w:pStyle w:val="Compact"/>
            </w:pPr>
            <w:r>
              <w:t xml:space="preserve">Drift detection, evidence packets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Automation and orchestration (cross-cutting)</w:t>
            </w:r>
          </w:p>
        </w:tc>
        <w:tc>
          <w:tcPr/>
          <w:p>
            <w:pPr>
              <w:pStyle w:val="Compact"/>
            </w:pPr>
            <w:r>
              <w:t xml:space="preserve">01, 03</w:t>
            </w:r>
          </w:p>
        </w:tc>
        <w:tc>
          <w:tcPr/>
          <w:p>
            <w:pPr>
              <w:pStyle w:val="Compact"/>
            </w:pPr>
            <w:r>
              <w:t xml:space="preserve">Plan-and-deliver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 (cross-cutting)</w:t>
            </w:r>
          </w:p>
        </w:tc>
        <w:tc>
          <w:tcPr/>
          <w:p>
            <w:pPr>
              <w:pStyle w:val="Compact"/>
            </w:pPr>
            <w:r>
              <w:t xml:space="preserve">03, 09, 10</w:t>
            </w:r>
          </w:p>
        </w:tc>
        <w:tc>
          <w:tcPr/>
          <w:p>
            <w:pPr>
              <w:pStyle w:val="Compact"/>
            </w:pPr>
            <w:r>
              <w:t xml:space="preserve">Gates, separation of governance and execution</w:t>
            </w:r>
          </w:p>
        </w:tc>
      </w:tr>
    </w:tbl>
    <w:bookmarkEnd w:id="14"/>
    <w:bookmarkStart w:id="17" w:name="nist-sp-800-207-tenetscsap-n207"/>
    <w:p>
      <w:pPr>
        <w:pStyle w:val="Heading2"/>
      </w:pPr>
      <w:r>
        <w:t xml:space="preserve">NIST SP 800-207 tenets</w:t>
      </w:r>
      <w:r>
        <w:rPr>
          <w:rStyle w:val="FootnoteReference"/>
        </w:rPr>
        <w:footnoteReference w:id="15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Tenet (paraphrased)</w:t>
            </w:r>
          </w:p>
        </w:tc>
        <w:tc>
          <w:tcPr/>
          <w:p>
            <w:pPr>
              <w:pStyle w:val="Compact"/>
            </w:pPr>
            <w:r>
              <w:t xml:space="preserve">Series mechanism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 data sources and computing services are resources</w:t>
            </w:r>
          </w:p>
        </w:tc>
        <w:tc>
          <w:tcPr/>
          <w:p>
            <w:pPr>
              <w:pStyle w:val="Compact"/>
            </w:pPr>
            <w:r>
              <w:t xml:space="preserve">Ch 00’s eleven dependency categories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 communication is secured regardless of network location</w:t>
            </w:r>
          </w:p>
        </w:tc>
        <w:tc>
          <w:tcPr/>
          <w:p>
            <w:pPr>
              <w:pStyle w:val="Compact"/>
            </w:pPr>
            <w:r>
              <w:t xml:space="preserve">Ch 08 ZTNA, retirement of network-segment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is granted per session</w:t>
            </w:r>
          </w:p>
        </w:tc>
        <w:tc>
          <w:tcPr/>
          <w:p>
            <w:pPr>
              <w:pStyle w:val="Compact"/>
            </w:pPr>
            <w:r>
              <w:t xml:space="preserve">Ch 05 Conditional Access, Ch 08 sign-in frequency and CAE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is decided by dynamic policy (identity, device, behavior)</w:t>
            </w:r>
          </w:p>
        </w:tc>
        <w:tc>
          <w:tcPr/>
          <w:p>
            <w:pPr>
              <w:pStyle w:val="Compact"/>
            </w:pPr>
            <w:r>
              <w:t xml:space="preserve">Ch 05 compliance + Conditional Access; Ch 08 risk-based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enterprise monitors the integrity and posture of its assets</w:t>
            </w:r>
          </w:p>
        </w:tc>
        <w:tc>
          <w:tcPr/>
          <w:p>
            <w:pPr>
              <w:pStyle w:val="Compact"/>
            </w:pPr>
            <w:r>
              <w:t xml:space="preserve">Ch 05 compliance policies, Ch 07 Defender/machine configuration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and authorization are dynamic and strictly enforced</w:t>
            </w:r>
          </w:p>
        </w:tc>
        <w:tc>
          <w:tcPr/>
          <w:p>
            <w:pPr>
              <w:pStyle w:val="Compact"/>
            </w:pPr>
            <w:r>
              <w:t xml:space="preserve">Ch 04 PIM-scoped roles, Ch 08 phishing-resistant MFA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enterprise collects information to improve its security posture</w:t>
            </w:r>
          </w:p>
        </w:tc>
        <w:tc>
          <w:tcPr/>
          <w:p>
            <w:pPr>
              <w:pStyle w:val="Compact"/>
            </w:pPr>
            <w:r>
              <w:t xml:space="preserve">Ch 03 evidence packets, Ch 09 drift reporting</w:t>
            </w:r>
          </w:p>
        </w:tc>
      </w:tr>
    </w:tbl>
    <w:bookmarkEnd w:id="17"/>
    <w:bookmarkStart w:id="20" w:name="Xe79de671b389992cfe595a5d036ace0a843d8ec"/>
    <w:p>
      <w:pPr>
        <w:pStyle w:val="Heading2"/>
      </w:pPr>
      <w:r>
        <w:t xml:space="preserve">NIST SP 800-53 Rev. 5 controls the series produces evidence for</w:t>
      </w:r>
      <w:r>
        <w:rPr>
          <w:rStyle w:val="FootnoteReference"/>
        </w:rPr>
        <w:footnoteReference w:id="18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Series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HR-driven joiner/mover/leaver workflows (Ch 04); drift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AC-3 / AC-6</w:t>
            </w:r>
          </w:p>
        </w:tc>
        <w:tc>
          <w:tcPr/>
          <w:p>
            <w:pPr>
              <w:pStyle w:val="Compact"/>
            </w:pPr>
            <w:r>
              <w:t xml:space="preserve">Access Enforcement / Least Privilege</w:t>
            </w:r>
          </w:p>
        </w:tc>
        <w:tc>
          <w:tcPr/>
          <w:p>
            <w:pPr>
              <w:pStyle w:val="Compact"/>
            </w:pPr>
            <w:r>
              <w:t xml:space="preserve">AU-scoped roles, PIM eligibility (Ch 04, 08)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AC-17</w:t>
            </w:r>
          </w:p>
        </w:tc>
        <w:tc>
          <w:tcPr/>
          <w:p>
            <w:pPr>
              <w:pStyle w:val="Compact"/>
            </w:pPr>
            <w:r>
              <w:t xml:space="preserve">Remote Access</w:t>
            </w:r>
          </w:p>
        </w:tc>
        <w:tc>
          <w:tcPr/>
          <w:p>
            <w:pPr>
              <w:pStyle w:val="Compact"/>
            </w:pPr>
            <w:r>
              <w:t xml:space="preserve">ZTNA in place of VPN (Ch 08)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IA-2 / IA-2(1),(2),(12)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Authentication; MFA; PIV credentials</w:t>
            </w:r>
          </w:p>
        </w:tc>
        <w:tc>
          <w:tcPr/>
          <w:p>
            <w:pPr>
              <w:pStyle w:val="Compact"/>
            </w:pPr>
            <w:r>
              <w:t xml:space="preserve">Phishing-resistant MFA and CBA (Ch 08)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Authenticator Management</w:t>
            </w:r>
          </w:p>
        </w:tc>
        <w:tc>
          <w:tcPr/>
          <w:p>
            <w:pPr>
              <w:pStyle w:val="Compact"/>
            </w:pPr>
            <w:r>
              <w:t xml:space="preserve">CBA trust store, username bindings (Ch 08)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CM-2 / CM-6</w:t>
            </w:r>
          </w:p>
        </w:tc>
        <w:tc>
          <w:tcPr/>
          <w:p>
            <w:pPr>
              <w:pStyle w:val="Compact"/>
            </w:pPr>
            <w:r>
              <w:t xml:space="preserve">Baseline Configuration / Configuration Settings</w:t>
            </w:r>
          </w:p>
        </w:tc>
        <w:tc>
          <w:tcPr/>
          <w:p>
            <w:pPr>
              <w:pStyle w:val="Compact"/>
            </w:pPr>
            <w:r>
              <w:t xml:space="preserve">Versioned Intune and machine-configuration manifests (Ch 05)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Authorized plans, pull-request review (Ch 03)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CM-8</w:t>
            </w:r>
          </w:p>
        </w:tc>
        <w:tc>
          <w:tcPr/>
          <w:p>
            <w:pPr>
              <w:pStyle w:val="Compact"/>
            </w:pPr>
            <w:r>
              <w:t xml:space="preserve">System Component Inventory</w:t>
            </w:r>
          </w:p>
        </w:tc>
        <w:tc>
          <w:tcPr/>
          <w:p>
            <w:pPr>
              <w:pStyle w:val="Compact"/>
            </w:pPr>
            <w:r>
              <w:t xml:space="preserve">Assessment streams (Ch 02), device inventory (Ch 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SC-20 / SC-21 / SC-22</w:t>
            </w:r>
          </w:p>
        </w:tc>
        <w:tc>
          <w:tcPr/>
          <w:p>
            <w:pPr>
              <w:pStyle w:val="Compact"/>
            </w:pPr>
            <w:r>
              <w:t xml:space="preserve">Secure name resolution</w:t>
            </w:r>
          </w:p>
        </w:tc>
        <w:tc>
          <w:tcPr/>
          <w:p>
            <w:pPr>
              <w:pStyle w:val="Compact"/>
            </w:pPr>
            <w:r>
              <w:t xml:space="preserve">DNS architecture (Ch 06), partially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AU-6 / SI-4</w:t>
            </w:r>
          </w:p>
        </w:tc>
        <w:tc>
          <w:tcPr/>
          <w:p>
            <w:pPr>
              <w:pStyle w:val="Compact"/>
            </w:pPr>
            <w:r>
              <w:t xml:space="preserve">Audit Review / System Monitoring</w:t>
            </w:r>
          </w:p>
        </w:tc>
        <w:tc>
          <w:tcPr/>
          <w:p>
            <w:pPr>
              <w:pStyle w:val="Compact"/>
            </w:pPr>
            <w:r>
              <w:t xml:space="preserve">Evidence packets, SIEM forwarding (Ch 03, 08)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</w:t>
            </w:r>
          </w:p>
        </w:tc>
        <w:tc>
          <w:tcPr/>
          <w:p>
            <w:pPr>
              <w:pStyle w:val="Compact"/>
            </w:pPr>
            <w:r>
              <w:t xml:space="preserve">Continuous Monitoring</w:t>
            </w:r>
          </w:p>
        </w:tc>
        <w:tc>
          <w:tcPr/>
          <w:p>
            <w:pPr>
              <w:pStyle w:val="Compact"/>
            </w:pPr>
            <w:r>
              <w:t xml:space="preserve">Drift detection and steady state (Ch 09)</w:t>
            </w:r>
          </w:p>
        </w:tc>
      </w:tr>
    </w:tbl>
    <w:bookmarkEnd w:id="20"/>
    <w:bookmarkStart w:id="23" w:name="gaps-to-plan-for-separately"/>
    <w:p>
      <w:pPr>
        <w:pStyle w:val="Heading2"/>
      </w:pPr>
      <w:r>
        <w:t xml:space="preserve">Gaps to plan for separately</w:t>
      </w:r>
    </w:p>
    <w:p>
      <w:pPr>
        <w:pStyle w:val="FirstParagraph"/>
      </w:pPr>
      <w:r>
        <w:t xml:space="preserve">Encrypted DNS (M-22-09), data categorization and the data pillar, and 802.1X/RADIUS successors are not designed in this series (see the</w:t>
      </w:r>
      <w:r>
        <w:t xml:space="preserve"> </w:t>
      </w:r>
      <w:hyperlink r:id="rId21">
        <w:r>
          <w:rPr>
            <w:rStyle w:val="Hyperlink"/>
          </w:rPr>
          <w:t xml:space="preserve">applicability note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2">
        <w:r>
          <w:rPr>
            <w:rStyle w:val="Hyperlink"/>
          </w:rPr>
          <w:t xml:space="preserve">Chapter 10 — Leadership Takeaway</w:t>
        </w:r>
      </w:hyperlink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OMB,</w:t>
      </w:r>
      <w:r>
        <w:t xml:space="preserve"> </w:t>
      </w:r>
      <w:r>
        <w:rPr>
          <w:i/>
          <w:iCs/>
        </w:rPr>
        <w:t xml:space="preserve">M-22-09: Moving the U.S. Government Toward Zero Trust Cybersecurity Principles</w:t>
      </w:r>
      <w:r>
        <w:t xml:space="preserve"> </w:t>
      </w:r>
      <w:r>
        <w:t xml:space="preserve">(January 2022).</w:t>
      </w:r>
      <w:r>
        <w:t xml:space="preserve"> </w:t>
      </w:r>
      <w:hyperlink r:id="rId10">
        <w:r>
          <w:rPr>
            <w:rStyle w:val="Hyperlink"/>
          </w:rPr>
          <w:t xml:space="preserve">https://www.whitehouse.gov/wp-content/uploads/2022/01/M-22-09.pdf</w:t>
        </w:r>
      </w:hyperlink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CISA,</w:t>
      </w:r>
      <w:r>
        <w:t xml:space="preserve"> </w:t>
      </w:r>
      <w:r>
        <w:rPr>
          <w:i/>
          <w:iCs/>
        </w:rPr>
        <w:t xml:space="preserve">Zero Trust Maturity Model</w:t>
      </w:r>
      <w:r>
        <w:t xml:space="preserve">, Version 2.0 (five pillars and three cross-cutting capabilities).</w:t>
      </w:r>
      <w:r>
        <w:t xml:space="preserve"> </w:t>
      </w:r>
      <w:hyperlink r:id="rId13">
        <w:r>
          <w:rPr>
            <w:rStyle w:val="Hyperlink"/>
          </w:rPr>
          <w:t xml:space="preserve">https://www.cisa.gov/zero-trust-maturity-model</w:t>
        </w:r>
      </w:hyperlink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NIST,</w:t>
      </w:r>
      <w:r>
        <w:t xml:space="preserve"> </w:t>
      </w:r>
      <w:r>
        <w:rPr>
          <w:i/>
          <w:iCs/>
        </w:rPr>
        <w:t xml:space="preserve">SP 800-207, Zero Trust Architecture</w:t>
      </w:r>
      <w:r>
        <w:t xml:space="preserve">, Section 2.1 (tenets).</w:t>
      </w:r>
      <w:r>
        <w:t xml:space="preserve"> </w:t>
      </w:r>
      <w:hyperlink r:id="rId16">
        <w:r>
          <w:rPr>
            <w:rStyle w:val="Hyperlink"/>
          </w:rPr>
          <w:t xml:space="preserve">https://csrc.nist.gov/pubs/sp/800/207/final</w:t>
        </w:r>
      </w:hyperlink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NIST,</w:t>
      </w:r>
      <w:r>
        <w:t xml:space="preserve"> </w:t>
      </w:r>
      <w:r>
        <w:rPr>
          <w:i/>
          <w:iCs/>
        </w:rPr>
        <w:t xml:space="preserve">SP 800-53 Rev. 5, Security and Privacy Controls for Information Systems and Organizations</w:t>
      </w:r>
      <w:r>
        <w:t xml:space="preserve">.</w:t>
      </w:r>
      <w:r>
        <w:t xml:space="preserve"> </w:t>
      </w:r>
      <w:hyperlink r:id="rId19">
        <w:r>
          <w:rPr>
            <w:rStyle w:val="Hyperlink"/>
          </w:rPr>
          <w:t xml:space="preserve">https://csrc.nist.gov/pubs/sp/800/53/r5/upd1/final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00a-applicability.md" TargetMode="External" /><Relationship Type="http://schemas.openxmlformats.org/officeDocument/2006/relationships/hyperlink" Id="rId22" Target="10-leadership-takeaway.md" TargetMode="External" /><Relationship Type="http://schemas.openxmlformats.org/officeDocument/2006/relationships/hyperlink" Id="rId16" Target="https://csrc.nist.gov/pubs/sp/800/207/final" TargetMode="External" /><Relationship Type="http://schemas.openxmlformats.org/officeDocument/2006/relationships/hyperlink" Id="rId19" Target="https://csrc.nist.gov/pubs/sp/800/53/r5/upd1/final" TargetMode="External" /><Relationship Type="http://schemas.openxmlformats.org/officeDocument/2006/relationships/hyperlink" Id="rId13" Target="https://www.cisa.gov/zero-trust-maturity-model" TargetMode="External" /><Relationship Type="http://schemas.openxmlformats.org/officeDocument/2006/relationships/hyperlink" Id="rId10" Target="https://www.whitehouse.gov/wp-content/uploads/2022/01/M-22-0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00a-applicability.md" TargetMode="External" /><Relationship Type="http://schemas.openxmlformats.org/officeDocument/2006/relationships/hyperlink" Id="rId22" Target="10-leadership-takeaway.md" TargetMode="External" /><Relationship Type="http://schemas.openxmlformats.org/officeDocument/2006/relationships/hyperlink" Id="rId16" Target="https://csrc.nist.gov/pubs/sp/800/207/final" TargetMode="External" /><Relationship Type="http://schemas.openxmlformats.org/officeDocument/2006/relationships/hyperlink" Id="rId19" Target="https://csrc.nist.gov/pubs/sp/800/53/r5/upd1/final" TargetMode="External" /><Relationship Type="http://schemas.openxmlformats.org/officeDocument/2006/relationships/hyperlink" Id="rId13" Target="https://www.cisa.gov/zero-trust-maturity-model" TargetMode="External" /><Relationship Type="http://schemas.openxmlformats.org/officeDocument/2006/relationships/hyperlink" Id="rId10" Target="https://www.whitehouse.gov/wp-content/uploads/2022/01/M-22-0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2026-10-19T10:09:39Z</dcterms:created>
  <dcterms:modified xsi:type="dcterms:W3CDTF">2026-10-19T10:09:39Z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