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X915548ae444012285e41adebeb6957e2f666ce0"/>
    <w:p>
      <w:pPr>
        <w:pStyle w:val="Heading1"/>
      </w:pPr>
      <w:r>
        <w:t xml:space="preserve">Compliance ServiceNow Kit Expansion Roadmap</w:t>
      </w:r>
    </w:p>
    <w:p>
      <w:pPr>
        <w:pStyle w:val="BlockText"/>
      </w:pPr>
      <w:r>
        <w:t xml:space="preserve">Status: DRAFT for author review · Surface:</w:t>
      </w:r>
      <w:r>
        <w:t xml:space="preserve"> </w:t>
      </w:r>
      <w:r>
        <w:rPr>
          <w:rStyle w:val="VerbatimChar"/>
        </w:rPr>
        <w:t xml:space="preserve">inbox/</w:t>
      </w:r>
      <w:r>
        <w:t xml:space="preserve"> </w:t>
      </w:r>
      <w:r>
        <w:t xml:space="preserve">(not canon)</w:t>
      </w:r>
      <w:r>
        <w:t xml:space="preserve"> </w:t>
      </w:r>
      <w:r>
        <w:t xml:space="preserve">Scope parameter:</w:t>
      </w:r>
      <w:r>
        <w:t xml:space="preserve"> </w:t>
      </w:r>
      <w:r>
        <w:rPr>
          <w:b/>
          <w:bCs/>
        </w:rPr>
        <w:t xml:space="preserve">FedRAMP Moderate + Microsoft GCC Moderate</w:t>
      </w:r>
      <w:r>
        <w:t xml:space="preserve"> </w:t>
      </w:r>
      <w:r>
        <w:t xml:space="preserve">(per the series rule).</w:t>
      </w:r>
      <w:r>
        <w:t xml:space="preserve"> </w:t>
      </w:r>
      <w:r>
        <w:t xml:space="preserve">Companion to:</w:t>
      </w:r>
      <w:r>
        <w:t xml:space="preserve"> </w:t>
      </w:r>
      <w:r>
        <w:rPr>
          <w:rStyle w:val="VerbatimChar"/>
        </w:rPr>
        <w:t xml:space="preserve">inbox/Federal_Compliance_Automation_Roadmap.md</w:t>
      </w:r>
      <w:r>
        <w:t xml:space="preserve"> </w:t>
      </w:r>
      <w:r>
        <w:t xml:space="preserve">(lanes A–F, phases 0–5),</w:t>
      </w:r>
      <w:r>
        <w:t xml:space="preserve"> </w:t>
      </w:r>
      <w:r>
        <w:rPr>
          <w:rStyle w:val="VerbatimChar"/>
        </w:rPr>
        <w:t xml:space="preserve">Compliance_Vol_VII_ServiceNow_Automation_Plan.md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Compliance-Training-Program/Compliance_Identity_Access_Governance_Kit_Requirements.docx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Compliance_Series_Requirements.md</w:t>
      </w:r>
      <w:r>
        <w:t xml:space="preserve"> </w:t>
      </w:r>
      <w:r>
        <w:t xml:space="preserve">Date Code: 2026-07-15 22:19 ET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Name the</w:t>
      </w:r>
      <w:r>
        <w:t xml:space="preserve"> </w:t>
      </w:r>
      <w:r>
        <w:rPr>
          <w:b/>
          <w:bCs/>
        </w:rPr>
        <w:t xml:space="preserve">Compliance ServiceNow kit portfolio</w:t>
      </w:r>
      <w:r>
        <w:t xml:space="preserve"> </w:t>
      </w:r>
      <w:r>
        <w:t xml:space="preserve">— the scoped applications that operate the</w:t>
      </w:r>
      <w:r>
        <w:t xml:space="preserve"> </w:t>
      </w:r>
      <w:r>
        <w:t xml:space="preserve">Compliance architecture — and sequence its expansion beyond what the series already carries.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Compliance_Identity_Access_Governance_Kit_Requirements.docx</w:t>
      </w:r>
      <w:r>
        <w:t xml:space="preserve"> </w:t>
      </w:r>
      <w:r>
        <w:t xml:space="preserve">cites this roadmap as the</w:t>
      </w:r>
      <w:r>
        <w:t xml:space="preserve"> </w:t>
      </w:r>
      <w:r>
        <w:t xml:space="preserve">document that proposes that kit</w:t>
      </w:r>
      <w:r>
        <w:t xml:space="preserve"> </w:t>
      </w:r>
      <w:r>
        <w:t xml:space="preserve">“as a Phase 2 deliverable”</w:t>
      </w:r>
      <w:r>
        <w:t xml:space="preserve">; this file is that roadmap,</w:t>
      </w:r>
      <w:r>
        <w:t xml:space="preserve"> </w:t>
      </w:r>
      <w:r>
        <w:t xml:space="preserve">reconciled against the lanes and phases the repo already tracks in</w:t>
      </w:r>
      <w:r>
        <w:t xml:space="preserve"> </w:t>
      </w:r>
      <w:r>
        <w:rPr>
          <w:rStyle w:val="VerbatimChar"/>
        </w:rPr>
        <w:t xml:space="preserve">Federal_Compliance_Automation_Roadmap.md</w:t>
      </w:r>
      <w:r>
        <w:t xml:space="preserve"> </w:t>
      </w:r>
      <w:r>
        <w:t xml:space="preserve">so there is one sequencing story, not two.</w:t>
      </w:r>
    </w:p>
    <w:p>
      <w:pPr>
        <w:pStyle w:val="BodyText"/>
      </w:pPr>
      <w:r>
        <w:rPr>
          <w:b/>
          <w:bCs/>
        </w:rPr>
        <w:t xml:space="preserve">Numbering reconciliation (read this first).</w:t>
      </w:r>
      <w:r>
        <w:t xml:space="preserve"> </w:t>
      </w:r>
      <w:r>
        <w:t xml:space="preserve">The compliance-automation roadmap’s</w:t>
      </w:r>
      <w:r>
        <w:t xml:space="preserve"> </w:t>
      </w:r>
      <w:r>
        <w:t xml:space="preserve">phases 0–5 sequence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federal compliance work (DDI decision, Vol VII deployment,</w:t>
      </w:r>
      <w:r>
        <w:t xml:space="preserve"> </w:t>
      </w:r>
      <w:r>
        <w:t xml:space="preserve">day-2 build, Teams, RedHat-on-AWS). The</w:t>
      </w:r>
      <w:r>
        <w:t xml:space="preserve"> </w:t>
      </w:r>
      <w:r>
        <w:rPr>
          <w:b/>
          <w:bCs/>
        </w:rPr>
        <w:t xml:space="preserve">kit phases</w:t>
      </w:r>
      <w:r>
        <w:t xml:space="preserve"> </w:t>
      </w:r>
      <w:r>
        <w:t xml:space="preserve">below sequence only the</w:t>
      </w:r>
      <w:r>
        <w:t xml:space="preserve"> </w:t>
      </w:r>
      <w:r>
        <w:t xml:space="preserve">ServiceNow kit portfolio, and are numbered independently: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Kit phase</w:t>
            </w:r>
          </w:p>
        </w:tc>
        <w:tc>
          <w:tcPr/>
          <w:p>
            <w:pPr>
              <w:pStyle w:val="Compact"/>
            </w:pPr>
            <w:r>
              <w:t xml:space="preserve">Contents</w:t>
            </w:r>
          </w:p>
        </w:tc>
        <w:tc>
          <w:tcPr/>
          <w:p>
            <w:pPr>
              <w:pStyle w:val="Compact"/>
            </w:pPr>
            <w:r>
              <w:t xml:space="preserve">Maps onto compliance-roadmap phase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Kit Phase 1 — Foundation kits</w:t>
            </w:r>
            <w:r>
              <w:t xml:space="preserve"> </w:t>
            </w:r>
            <w:r>
              <w:t xml:space="preserve">(exist)</w:t>
            </w:r>
          </w:p>
        </w:tc>
        <w:tc>
          <w:tcPr/>
          <w:p>
            <w:pPr>
              <w:pStyle w:val="Compact"/>
            </w:pPr>
            <w:r>
              <w:t xml:space="preserve">Compliance Kit (Vol VII), DDI Kit (Vol VIII exemplar), Day-2 Kit (Vol IX)</w:t>
            </w:r>
          </w:p>
        </w:tc>
        <w:tc>
          <w:tcPr/>
          <w:p>
            <w:pPr>
              <w:pStyle w:val="Compact"/>
            </w:pPr>
            <w:r>
              <w:t xml:space="preserve">Phases 2–4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Kit Phase 2 — Identity &amp; Access Governance Kit</w:t>
            </w:r>
            <w:r>
              <w:t xml:space="preserve"> </w:t>
            </w:r>
            <w:r>
              <w:t xml:space="preserve">(proposed)</w:t>
            </w:r>
          </w:p>
        </w:tc>
        <w:tc>
          <w:tcPr/>
          <w:p>
            <w:pPr>
              <w:pStyle w:val="Compact"/>
            </w:pPr>
            <w:r>
              <w:t xml:space="preserve">JML automation, access certification, IAM KSI evidence</w:t>
            </w:r>
          </w:p>
        </w:tc>
        <w:tc>
          <w:tcPr/>
          <w:p>
            <w:pPr>
              <w:pStyle w:val="Compact"/>
            </w:pPr>
            <w:r>
              <w:t xml:space="preserve">After phase 3 (extends the Day-2 Kit’s JML lane)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Kit Phase 3+ — Candidate kits</w:t>
            </w:r>
            <w:r>
              <w:t xml:space="preserve"> </w:t>
            </w:r>
            <w:r>
              <w:t xml:space="preserve">(future)</w:t>
            </w:r>
          </w:p>
        </w:tc>
        <w:tc>
          <w:tcPr/>
          <w:p>
            <w:pPr>
              <w:pStyle w:val="Compact"/>
            </w:pPr>
            <w:r>
              <w:t xml:space="preserve">PAM/JIT, Device Compliance (Intune), AWS/RedHat queue extension, analytics</w:t>
            </w:r>
          </w:p>
        </w:tc>
        <w:tc>
          <w:tcPr/>
          <w:p>
            <w:pPr>
              <w:pStyle w:val="Compact"/>
            </w:pPr>
            <w:r>
              <w:t xml:space="preserve">Phase 5 and beyond</w:t>
            </w:r>
          </w:p>
        </w:tc>
      </w:tr>
    </w:tbl>
    <w:bookmarkEnd w:id="9"/>
    <w:bookmarkStart w:id="10" w:name="X75985d4652dce4ee434696359127e3c59b88467"/>
    <w:p>
      <w:pPr>
        <w:pStyle w:val="Heading2"/>
      </w:pPr>
      <w:r>
        <w:t xml:space="preserve">2. Doctrine guardrails (inherited, non-negotiable)</w:t>
      </w:r>
    </w:p>
    <w:p>
      <w:pPr>
        <w:pStyle w:val="FirstParagraph"/>
      </w:pPr>
      <w:r>
        <w:t xml:space="preserve">Every kit in the portfolio — existing and proposed — carries the Vol VII discipline: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Coordination, not actuation.</w:t>
      </w:r>
      <w:r>
        <w:t xml:space="preserve"> </w:t>
      </w:r>
      <w:r>
        <w:t xml:space="preserve">The kit routes drift/requests to an owner, gates</w:t>
      </w:r>
      <w:r>
        <w:t xml:space="preserve"> </w:t>
      </w:r>
      <w:r>
        <w:t xml:space="preserve">change (CM-3), and rolls posture up to ConMon (CA-7); actuation stays</w:t>
      </w:r>
      <w:r>
        <w:t xml:space="preserve"> </w:t>
      </w:r>
      <w:r>
        <w:t xml:space="preserve">platform-native (Microsoft Graph, Azure Policy, Update Manager).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CMDB reconciles to the naming plane.</w:t>
      </w:r>
      <w:r>
        <w:t xml:space="preserve"> </w:t>
      </w:r>
      <w:r>
        <w:t xml:space="preserve">IPAM/DDI (CM-8 join key) and HRIT are the</w:t>
      </w:r>
      <w:r>
        <w:t xml:space="preserve"> </w:t>
      </w:r>
      <w:r>
        <w:t xml:space="preserve">truth planes; a CMDB that drifts from them is a reconciliation defect, never a</w:t>
      </w:r>
      <w:r>
        <w:t xml:space="preserve"> </w:t>
      </w:r>
      <w:r>
        <w:t xml:space="preserve">second source of truth.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FedRAMP Moderate + GCC Moderate only.</w:t>
      </w:r>
      <w:r>
        <w:t xml:space="preserve"> </w:t>
      </w:r>
      <w:r>
        <w:t xml:space="preserve">ServiceNow Government Cloud referred to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FedRAMP-authorized</w:t>
      </w:r>
      <w:r>
        <w:t xml:space="preserve">; never cite High.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In-boundary by construction.</w:t>
      </w:r>
      <w:r>
        <w:t xml:space="preserve"> </w:t>
      </w:r>
      <w:r>
        <w:t xml:space="preserve">MID Server inside the ATO boundary;</w:t>
      </w:r>
      <w:r>
        <w:t xml:space="preserve"> </w:t>
      </w:r>
      <w:r>
        <w:t xml:space="preserve">least-privilege connector identities — read plus scoped/logged/approved write,</w:t>
      </w:r>
      <w:r>
        <w:t xml:space="preserve"> </w:t>
      </w:r>
      <w:r>
        <w:t xml:space="preserve">never standing tenant admin (AC-6).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Everything as code, checked against the SSOT.</w:t>
      </w:r>
      <w:r>
        <w:t xml:space="preserve"> </w:t>
      </w:r>
      <w:r>
        <w:t xml:space="preserve">Each kit’s control map is</w:t>
      </w:r>
      <w:r>
        <w:t xml:space="preserve"> </w:t>
      </w:r>
      <w:r>
        <w:t xml:space="preserve">machine-readable data projected from</w:t>
      </w:r>
      <w:r>
        <w:t xml:space="preserve"> </w:t>
      </w:r>
      <w:r>
        <w:rPr>
          <w:rStyle w:val="VerbatimChar"/>
        </w:rPr>
        <w:t xml:space="preserve">compliance-compliance-spine.yml</w:t>
      </w:r>
      <w:r>
        <w:t xml:space="preserve">, CI-checked with</w:t>
      </w:r>
      <w:r>
        <w:t xml:space="preserve"> </w:t>
      </w:r>
      <w:r>
        <w:t xml:space="preserve">the regen-and-diff discipline (</w:t>
      </w:r>
      <w:r>
        <w:rPr>
          <w:rStyle w:val="VerbatimChar"/>
        </w:rPr>
        <w:t xml:space="preserve">validate_day2_control_maps.py</w:t>
      </w:r>
      <w:r>
        <w:t xml:space="preserve"> </w:t>
      </w:r>
      <w:r>
        <w:t xml:space="preserve">pattern); ATF</w:t>
      </w:r>
      <w:r>
        <w:t xml:space="preserve"> </w:t>
      </w:r>
      <w:r>
        <w:t xml:space="preserve">coverage and update-set packaging are release requirements.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Requirements before build.</w:t>
      </w:r>
      <w:r>
        <w:t xml:space="preserve"> </w:t>
      </w:r>
      <w:r>
        <w:t xml:space="preserve">Each new kit enters the portfolio through a</w:t>
      </w:r>
      <w:r>
        <w:t xml:space="preserve"> </w:t>
      </w:r>
      <w:r>
        <w:t xml:space="preserve">detailed requirements document in the format of</w:t>
      </w:r>
      <w:r>
        <w:t xml:space="preserve"> </w:t>
      </w:r>
      <w:r>
        <w:rPr>
          <w:rStyle w:val="VerbatimChar"/>
        </w:rPr>
        <w:t xml:space="preserve">Compliance_Identity_Access_Governance_Kit_Requirements.docx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Compliance_Series_Requirements.md</w:t>
      </w:r>
      <w:r>
        <w:t xml:space="preserve"> </w:t>
      </w:r>
      <w:r>
        <w:t xml:space="preserve">(overview, scope, FR tables with Req IDs, integration matrix, NFRs, personas,</w:t>
      </w:r>
      <w:r>
        <w:t xml:space="preserve"> </w:t>
      </w:r>
      <w:r>
        <w:t xml:space="preserve">KPIs, dependencies), reviewed by CSI, OIS, and ServiceNow stakeholders.</w:t>
      </w:r>
    </w:p>
    <w:bookmarkEnd w:id="10"/>
    <w:bookmarkStart w:id="11" w:name="kit-phase-1-foundation-kits-exist-today"/>
    <w:p>
      <w:pPr>
        <w:pStyle w:val="Heading2"/>
      </w:pPr>
      <w:r>
        <w:t xml:space="preserve">3. Kit Phase 1 — Foundation kits (exist today)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Kit</w:t>
            </w:r>
          </w:p>
        </w:tc>
        <w:tc>
          <w:tcPr/>
          <w:p>
            <w:pPr>
              <w:pStyle w:val="Compact"/>
            </w:pPr>
            <w:r>
              <w:t xml:space="preserve">Series home</w:t>
            </w:r>
          </w:p>
        </w:tc>
        <w:tc>
          <w:tcPr/>
          <w:p>
            <w:pPr>
              <w:pStyle w:val="Compact"/>
            </w:pPr>
            <w:r>
              <w:t xml:space="preserve">Lanes</w:t>
            </w:r>
          </w:p>
        </w:tc>
        <w:tc>
          <w:tcPr/>
          <w:p>
            <w:pPr>
              <w:pStyle w:val="Compact"/>
            </w:pPr>
            <w:r>
              <w:t xml:space="preserve">What it operates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Compliance Kit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x_fed_compliance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VII Books 00–05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M365 + Azure control drift → tracked work, CMDB reconciliation (CM-8), attestation/evidence/KSI (CA-2/5/7)</w:t>
            </w:r>
          </w:p>
        </w:tc>
        <w:tc>
          <w:tcPr/>
          <w:p>
            <w:pPr>
              <w:pStyle w:val="Compact"/>
            </w:pPr>
            <w:r>
              <w:t xml:space="preserve">Authored; deploy to sub-prod, wire MID + Graph/ARM connectors, run ATF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DDI Kit</w:t>
            </w:r>
          </w:p>
        </w:tc>
        <w:tc>
          <w:tcPr/>
          <w:p>
            <w:pPr>
              <w:pStyle w:val="Compact"/>
            </w:pPr>
            <w:r>
              <w:t xml:space="preserve">Vol VIII /</w:t>
            </w:r>
            <w:r>
              <w:t xml:space="preserve"> </w:t>
            </w:r>
            <w:r>
              <w:rPr>
                <w:rStyle w:val="VerbatimChar"/>
              </w:rPr>
              <w:t xml:space="preserve">infoblox-ddi-book/servicenow-app/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Catalog → approval/SoD (CM-5) → Terraform → validation gate → CMDB for DDI change</w:t>
            </w:r>
          </w:p>
        </w:tc>
        <w:tc>
          <w:tcPr/>
          <w:p>
            <w:pPr>
              <w:pStyle w:val="Compact"/>
            </w:pPr>
            <w:r>
              <w:t xml:space="preserve">Complete importable exemplar; point at the DDI backend once the InfoBlox decision (compliance-roadmap Task #1) lands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Day-2 Kit</w:t>
            </w:r>
          </w:p>
        </w:tc>
        <w:tc>
          <w:tcPr/>
          <w:p>
            <w:pPr>
              <w:pStyle w:val="Compact"/>
            </w:pPr>
            <w:r>
              <w:t xml:space="preserve">Vol IX Books 00–05 /</w:t>
            </w:r>
            <w:r>
              <w:t xml:space="preserve"> </w:t>
            </w:r>
            <w:r>
              <w:rPr>
                <w:rStyle w:val="VerbatimChar"/>
              </w:rPr>
              <w:t xml:space="preserve">servicenow-day2/</w:t>
            </w:r>
          </w:p>
        </w:tc>
        <w:tc>
          <w:tcPr/>
          <w:p>
            <w:pPr>
              <w:pStyle w:val="Compact"/>
            </w:pPr>
            <w:r>
              <w:t xml:space="preserve">C, D, E, §4, F</w:t>
            </w:r>
          </w:p>
        </w:tc>
        <w:tc>
          <w:tcPr/>
          <w:p>
            <w:pPr>
              <w:pStyle w:val="Compact"/>
            </w:pPr>
            <w:r>
              <w:t xml:space="preserve">Helpdesk/ITSM catalog (JML, credential, access), landing-zone front door, app-registration governance, Teams telephony, SaaS integration governance (SA-9 gate)</w:t>
            </w:r>
          </w:p>
        </w:tc>
        <w:tc>
          <w:tcPr/>
          <w:p>
            <w:pPr>
              <w:pStyle w:val="Compact"/>
            </w:pPr>
            <w:r>
              <w:t xml:space="preserve">Books + control maps + flows + ATF spec authored (issues #1139–#1141); remaining: export</w:t>
            </w:r>
            <w:r>
              <w:t xml:space="preserve"> </w:t>
            </w:r>
            <w:r>
              <w:rPr>
                <w:rStyle w:val="VerbatimChar"/>
              </w:rPr>
              <w:t xml:space="preserve">sys_atf_test</w:t>
            </w:r>
            <w:r>
              <w:t xml:space="preserve"> </w:t>
            </w:r>
            <w:r>
              <w:t xml:space="preserve">XML and the assembled update set from a sub-prod build, per-item catalog variable sets</w:t>
            </w:r>
          </w:p>
        </w:tc>
      </w:tr>
    </w:tbl>
    <w:p>
      <w:pPr>
        <w:pStyle w:val="BodyText"/>
      </w:pPr>
      <w:r>
        <w:t xml:space="preserve">These three kits close the coordination layer for the estate’s</w:t>
      </w:r>
      <w:r>
        <w:t xml:space="preserve"> </w:t>
      </w:r>
      <w:r>
        <w:rPr>
          <w:i/>
          <w:iCs/>
        </w:rPr>
        <w:t xml:space="preserve">routine</w:t>
      </w:r>
      <w:r>
        <w:t xml:space="preserve"> </w:t>
      </w:r>
      <w:r>
        <w:t xml:space="preserve">state:</w:t>
      </w:r>
      <w:r>
        <w:t xml:space="preserve"> </w:t>
      </w:r>
      <w:r>
        <w:t xml:space="preserve">compliance drift, DDI change, and day-2 requests. What they deliberately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carry is identity</w:t>
      </w:r>
      <w:r>
        <w:t xml:space="preserve"> </w:t>
      </w:r>
      <w:r>
        <w:rPr>
          <w:i/>
          <w:iCs/>
        </w:rPr>
        <w:t xml:space="preserve">governance</w:t>
      </w:r>
      <w:r>
        <w:t xml:space="preserve"> </w:t>
      </w:r>
      <w:r>
        <w:t xml:space="preserve">— certification campaigns, least-privilege evidence,</w:t>
      </w:r>
      <w:r>
        <w:t xml:space="preserve"> </w:t>
      </w:r>
      <w:r>
        <w:t xml:space="preserve">and the IAM KSI feed — which is the Phase 2 kit’s job.</w:t>
      </w:r>
    </w:p>
    <w:bookmarkEnd w:id="11"/>
    <w:bookmarkStart w:id="12" w:name="Xb31dafd214d340144a0d1bb7acaffd38d4fba67"/>
    <w:p>
      <w:pPr>
        <w:pStyle w:val="Heading2"/>
      </w:pPr>
      <w:r>
        <w:t xml:space="preserve">4. Kit Phase 2 — Identity &amp; Access Governance Kit (proposed)</w:t>
      </w:r>
    </w:p>
    <w:p>
      <w:pPr>
        <w:pStyle w:val="FirstParagraph"/>
      </w:pPr>
      <w:r>
        <w:t xml:space="preserve">Detailed requirements:</w:t>
      </w:r>
      <w:r>
        <w:t xml:space="preserve"> </w:t>
      </w:r>
      <w:r>
        <w:rPr>
          <w:rStyle w:val="VerbatimChar"/>
        </w:rPr>
        <w:t xml:space="preserve">Compliance-Training-Program/Compliance_Identity_Access_Governance_Kit_Requirements.docx</w:t>
      </w:r>
      <w:r>
        <w:t xml:space="preserve"> </w:t>
      </w:r>
      <w:r>
        <w:t xml:space="preserve">(Draft v0.9). Tracking issue:</w:t>
      </w:r>
      <w:r>
        <w:t xml:space="preserve"> </w:t>
      </w:r>
      <w:r>
        <w:rPr>
          <w:b/>
          <w:bCs/>
        </w:rPr>
        <w:t xml:space="preserve">#1221</w:t>
      </w:r>
      <w:r>
        <w:t xml:space="preserve"> </w:t>
      </w:r>
      <w:r>
        <w:t xml:space="preserve">(same pattern as #1139–#1141).</w:t>
      </w:r>
      <w:r>
        <w:t xml:space="preserve"> </w:t>
      </w:r>
      <w:r>
        <w:t xml:space="preserve">Summary of what it adds and where it sits: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Extends, not duplicates, the Day-2 Kit.</w:t>
      </w:r>
      <w:r>
        <w:t xml:space="preserve"> </w:t>
      </w:r>
      <w:r>
        <w:t xml:space="preserve">Vol IX Book 01 already governs JML</w:t>
      </w:r>
      <w:r>
        <w:t xml:space="preserve"> </w:t>
      </w:r>
      <w:r>
        <w:rPr>
          <w:i/>
          <w:iCs/>
        </w:rPr>
        <w:t xml:space="preserve">requests</w:t>
      </w:r>
      <w:r>
        <w:t xml:space="preserve">; this kit automates the full lifecycle from</w:t>
      </w:r>
      <w:r>
        <w:t xml:space="preserve"> </w:t>
      </w:r>
      <w:r>
        <w:rPr>
          <w:b/>
          <w:bCs/>
        </w:rPr>
        <w:t xml:space="preserve">HRIT Org SSOT events</w:t>
      </w:r>
      <w:r>
        <w:t xml:space="preserve"> </w:t>
      </w:r>
      <w:r>
        <w:t xml:space="preserve">(joiner/mover/leaver with approval gates, FR-JML-001..005) and layers</w:t>
      </w:r>
      <w:r>
        <w:t xml:space="preserve"> </w:t>
      </w:r>
      <w:r>
        <w:rPr>
          <w:b/>
          <w:bCs/>
        </w:rPr>
        <w:t xml:space="preserve">access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certification campaigns</w:t>
      </w:r>
      <w:r>
        <w:t xml:space="preserve"> </w:t>
      </w:r>
      <w:r>
        <w:t xml:space="preserve">(user, manager, application-owner, privileged;</w:t>
      </w:r>
      <w:r>
        <w:t xml:space="preserve"> </w:t>
      </w:r>
      <w:r>
        <w:t xml:space="preserve">FR-CERT-001..006) on top.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Feeds the Compliance Kit’s evidence loop.</w:t>
      </w:r>
      <w:r>
        <w:t xml:space="preserve"> </w:t>
      </w:r>
      <w:r>
        <w:t xml:space="preserve">Campaign completion, MFA/conditional</w:t>
      </w:r>
      <w:r>
        <w:t xml:space="preserve"> </w:t>
      </w:r>
      <w:r>
        <w:t xml:space="preserve">access coverage, SSOT-vs-Entra least-privilege comparison, and JML audit trails</w:t>
      </w:r>
      <w:r>
        <w:t xml:space="preserve"> </w:t>
      </w:r>
      <w:r>
        <w:t xml:space="preserve">become IAM KSI evidence (FR-EVD-001..006), exported OSCAL-compatibly via the</w:t>
      </w:r>
      <w:r>
        <w:t xml:space="preserve"> </w:t>
      </w:r>
      <w:r>
        <w:rPr>
          <w:rStyle w:val="VerbatimChar"/>
        </w:rPr>
        <w:t xml:space="preserve">&lt;engine&gt; oscal bundle</w:t>
      </w:r>
      <w:r>
        <w:t xml:space="preserve"> </w:t>
      </w:r>
      <w:r>
        <w:t xml:space="preserve">path into Vol VII Book 04 attestation.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Dependencies:</w:t>
      </w:r>
      <w:r>
        <w:t xml:space="preserve"> </w:t>
      </w:r>
      <w:r>
        <w:t xml:space="preserve">Vol I Book 04 (HRIT Identity &amp; Org SSOT) implemented and reliable;</w:t>
      </w:r>
      <w:r>
        <w:t xml:space="preserve"> </w:t>
      </w:r>
      <w:r>
        <w:t xml:space="preserve">Vol I Book 05 (Entra ID modernization) on at least a parallel path; foundation kits</w:t>
      </w:r>
      <w:r>
        <w:t xml:space="preserve"> </w:t>
      </w:r>
      <w:r>
        <w:t xml:space="preserve">deployed (the requirements doc assumes the Day-2 and DDI kits are live).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Series home (proposal):</w:t>
      </w:r>
      <w:r>
        <w:t xml:space="preserve"> </w:t>
      </w:r>
      <w:r>
        <w:t xml:space="preserve">a new Vol IX book (Vol IX Book 06 — Identity &amp; Access</w:t>
      </w:r>
      <w:r>
        <w:t xml:space="preserve"> </w:t>
      </w:r>
      <w:r>
        <w:t xml:space="preserve">Governance) or, if certification-campaign scope grows, its own volume; decide at</w:t>
      </w:r>
      <w:r>
        <w:t xml:space="preserve"> </w:t>
      </w:r>
      <w:r>
        <w:t xml:space="preserve">requirements sign-off. Spine registration, control map, ATF, and update set follow</w:t>
      </w:r>
      <w:r>
        <w:t xml:space="preserve"> </w:t>
      </w:r>
      <w:r>
        <w:t xml:space="preserve">the guardrails in §2 either way.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Out of the kit’s scope, deferred to Phase 3+:</w:t>
      </w:r>
      <w:r>
        <w:t xml:space="preserve"> </w:t>
      </w:r>
      <w:r>
        <w:t xml:space="preserve">full PAM/JIT provisioning, device</w:t>
      </w:r>
      <w:r>
        <w:t xml:space="preserve"> </w:t>
      </w:r>
      <w:r>
        <w:t xml:space="preserve">compliance / Intune integration, non-Entra identity sources, AI-driven access</w:t>
      </w:r>
      <w:r>
        <w:t xml:space="preserve"> </w:t>
      </w:r>
      <w:r>
        <w:t xml:space="preserve">recommendations, automated remediation beyond evidence + alerting.</w:t>
      </w:r>
    </w:p>
    <w:bookmarkEnd w:id="12"/>
    <w:bookmarkStart w:id="13" w:name="X042f5279d7f1f525b782074301ab9d67fe7c22f"/>
    <w:p>
      <w:pPr>
        <w:pStyle w:val="Heading2"/>
      </w:pPr>
      <w:r>
        <w:t xml:space="preserve">5. Kit Phase 3+ — Candidate kits (future, unsequenced)</w:t>
      </w:r>
    </w:p>
    <w:p>
      <w:pPr>
        <w:pStyle w:val="FirstParagraph"/>
      </w:pPr>
      <w:r>
        <w:t xml:space="preserve">Candidates named by the Phase 2 requirements document and the series’ explicit</w:t>
      </w:r>
      <w:r>
        <w:t xml:space="preserve"> </w:t>
      </w:r>
      <w:r>
        <w:t xml:space="preserve">follow-ups; each requires its own requirements document (§2 guardrail 6) before any</w:t>
      </w:r>
      <w:r>
        <w:t xml:space="preserve"> </w:t>
      </w:r>
      <w:r>
        <w:t xml:space="preserve">build: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Candidate kit</w:t>
            </w:r>
          </w:p>
        </w:tc>
        <w:tc>
          <w:tcPr/>
          <w:p>
            <w:pPr>
              <w:pStyle w:val="Compact"/>
            </w:pPr>
            <w:r>
              <w:t xml:space="preserve">Seed doctrine in the series</w:t>
            </w:r>
          </w:p>
        </w:tc>
        <w:tc>
          <w:tcPr/>
          <w:p>
            <w:pPr>
              <w:pStyle w:val="Compact"/>
            </w:pPr>
            <w:r>
              <w:t xml:space="preserve">Would close / operate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PAM / JIT Access Kit</w:t>
            </w:r>
          </w:p>
        </w:tc>
        <w:tc>
          <w:tcPr/>
          <w:p>
            <w:pPr>
              <w:pStyle w:val="Compact"/>
            </w:pPr>
            <w:r>
              <w:t xml:space="preserve">Vol III Book 01 (Privileged Access Management)</w:t>
            </w:r>
          </w:p>
        </w:tc>
        <w:tc>
          <w:tcPr/>
          <w:p>
            <w:pPr>
              <w:pStyle w:val="Compact"/>
            </w:pPr>
            <w:r>
              <w:t xml:space="preserve">Just-in-time elevation, standing-privilege burndown (AC-6), privileged-session evidence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 Compliance Kit (Intune)</w:t>
            </w:r>
          </w:p>
        </w:tc>
        <w:tc>
          <w:tcPr/>
          <w:p>
            <w:pPr>
              <w:pStyle w:val="Compact"/>
            </w:pPr>
            <w:r>
              <w:t xml:space="preserve">ZTNA-related work in Vol I Book 05; Intune-first drafts in</w:t>
            </w:r>
            <w:r>
              <w:t xml:space="preserve"> </w:t>
            </w:r>
            <w:r>
              <w:rPr>
                <w:rStyle w:val="VerbatimChar"/>
              </w:rPr>
              <w:t xml:space="preserve">inbox/drafts/</w:t>
            </w:r>
          </w:p>
        </w:tc>
        <w:tc>
          <w:tcPr/>
          <w:p>
            <w:pPr>
              <w:pStyle w:val="Compact"/>
            </w:pPr>
            <w:r>
              <w:t xml:space="preserve">Device-compliance gates in conditional access, endpoint evidence slots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/ RedHat Queue Extension</w:t>
            </w:r>
          </w:p>
        </w:tc>
        <w:tc>
          <w:tcPr/>
          <w:p>
            <w:pPr>
              <w:pStyle w:val="Compact"/>
            </w:pPr>
            <w:r>
              <w:t xml:space="preserve">Vol III Book 03 (Patch &amp; Systems Management), Vol VIII Book 02 (AWS DDI)</w:t>
            </w:r>
          </w:p>
        </w:tc>
        <w:tc>
          <w:tcPr/>
          <w:p>
            <w:pPr>
              <w:pStyle w:val="Compact"/>
            </w:pPr>
            <w:r>
              <w:t xml:space="preserve">SI-2/CM-6/RA-5 queues for the AWS RedHat estate reconciling into the same ServiceNow queues (compliance-roadmap phase 5)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Analytics Kit</w:t>
            </w:r>
          </w:p>
        </w:tc>
        <w:tc>
          <w:tcPr/>
          <w:p>
            <w:pPr>
              <w:pStyle w:val="Compact"/>
            </w:pPr>
            <w:r>
              <w:t xml:space="preserve">Phase 2 kit’s evidence store</w:t>
            </w:r>
          </w:p>
        </w:tc>
        <w:tc>
          <w:tcPr/>
          <w:p>
            <w:pPr>
              <w:pStyle w:val="Compact"/>
            </w:pPr>
            <w:r>
              <w:t xml:space="preserve">AI-assisted access recommendations, anomaly detection, risk scoring — evidence-consuming, never auto-remediating without human-in-the-loop</w:t>
            </w:r>
          </w:p>
        </w:tc>
      </w:tr>
    </w:tbl>
    <w:bookmarkEnd w:id="13"/>
    <w:bookmarkStart w:id="14" w:name="sequencing-gates"/>
    <w:p>
      <w:pPr>
        <w:pStyle w:val="Heading2"/>
      </w:pPr>
      <w:r>
        <w:t xml:space="preserve">6. Sequencing &amp; gates</w:t>
      </w:r>
    </w:p>
    <w:p>
      <w:pPr>
        <w:pStyle w:val="SourceCode"/>
      </w:pPr>
      <w:r>
        <w:rPr>
          <w:rStyle w:val="VerbatimChar"/>
        </w:rPr>
        <w:t xml:space="preserve">Kit Phase 1 (deploy)          Kit Phase 2 (build)                Kit Phase 3+ (propose)</w:t>
      </w:r>
      <w:r>
        <w:br/>
      </w:r>
      <w:r>
        <w:rPr>
          <w:rStyle w:val="VerbatimChar"/>
        </w:rPr>
        <w:t xml:space="preserve">Compliance Kit ──┐</w:t>
      </w:r>
      <w:r>
        <w:br/>
      </w:r>
      <w:r>
        <w:rPr>
          <w:rStyle w:val="VerbatimChar"/>
        </w:rPr>
        <w:t xml:space="preserve">DDI Kit ─────────┼─ sub-prod, ATF, update sets</w:t>
      </w:r>
      <w:r>
        <w:br/>
      </w:r>
      <w:r>
        <w:rPr>
          <w:rStyle w:val="VerbatimChar"/>
        </w:rPr>
        <w:t xml:space="preserve">Day-2 Kit ───────┘        │</w:t>
      </w:r>
      <w:r>
        <w:br/>
      </w:r>
      <w:r>
        <w:rPr>
          <w:rStyle w:val="VerbatimChar"/>
        </w:rPr>
        <w:t xml:space="preserve">                          ▼</w:t>
      </w:r>
      <w:r>
        <w:br/>
      </w:r>
      <w:r>
        <w:rPr>
          <w:rStyle w:val="VerbatimChar"/>
        </w:rPr>
        <w:t xml:space="preserve">              Identity &amp; Access Governance Kit</w:t>
      </w:r>
      <w:r>
        <w:br/>
      </w:r>
      <w:r>
        <w:rPr>
          <w:rStyle w:val="VerbatimChar"/>
        </w:rPr>
        <w:t xml:space="preserve">              (gate: HRIT SSOT live, Entra modernization</w:t>
      </w:r>
      <w:r>
        <w:br/>
      </w:r>
      <w:r>
        <w:rPr>
          <w:rStyle w:val="VerbatimChar"/>
        </w:rPr>
        <w:t xml:space="preserve">               underway, requirements v1.0 signed off)</w:t>
      </w:r>
      <w:r>
        <w:br/>
      </w:r>
      <w:r>
        <w:rPr>
          <w:rStyle w:val="VerbatimChar"/>
        </w:rPr>
        <w:t xml:space="preserve">                          │</w:t>
      </w:r>
      <w:r>
        <w:br/>
      </w:r>
      <w:r>
        <w:rPr>
          <w:rStyle w:val="VerbatimChar"/>
        </w:rPr>
        <w:t xml:space="preserve">                          ▼</w:t>
      </w:r>
      <w:r>
        <w:br/>
      </w:r>
      <w:r>
        <w:rPr>
          <w:rStyle w:val="VerbatimChar"/>
        </w:rPr>
        <w:t xml:space="preserve">              PAM/JIT · Device Compliance · AWS/RedHat · Analytics</w:t>
      </w:r>
      <w:r>
        <w:br/>
      </w:r>
      <w:r>
        <w:rPr>
          <w:rStyle w:val="VerbatimChar"/>
        </w:rPr>
        <w:t xml:space="preserve">              (gate: per-kit requirements doc + OIS review)</w:t>
      </w:r>
    </w:p>
    <w:p>
      <w:pPr>
        <w:pStyle w:val="FirstParagraph"/>
      </w:pPr>
      <w:r>
        <w:t xml:space="preserve">Gates, concretely: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Phase 1 → 2:</w:t>
      </w:r>
      <w:r>
        <w:t xml:space="preserve"> </w:t>
      </w:r>
      <w:r>
        <w:t xml:space="preserve">foundation kits running in sub-prod with green ATF; HRIT Org SSOT</w:t>
      </w:r>
      <w:r>
        <w:t xml:space="preserve"> </w:t>
      </w:r>
      <w:r>
        <w:t xml:space="preserve">(Vol I Book 04) providing reliable data; Identity &amp; Access Governance Kit</w:t>
      </w:r>
      <w:r>
        <w:t xml:space="preserve"> </w:t>
      </w:r>
      <w:r>
        <w:t xml:space="preserve">requirements advanced from Draft v0.9 to a signed-off v1.0 through the CSI/OIS</w:t>
      </w:r>
      <w:r>
        <w:t xml:space="preserve"> </w:t>
      </w:r>
      <w:r>
        <w:t xml:space="preserve">workshops the document itself calls for.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Phase 2 → 3+:</w:t>
      </w:r>
      <w:r>
        <w:t xml:space="preserve"> </w:t>
      </w:r>
      <w:r>
        <w:t xml:space="preserve">IAM KSI evidence flowing into Vol VII Book 04; per-candidate</w:t>
      </w:r>
      <w:r>
        <w:t xml:space="preserve"> </w:t>
      </w:r>
      <w:r>
        <w:t xml:space="preserve">requirements documents authored and reviewed; sequencing decided against the</w:t>
      </w:r>
      <w:r>
        <w:t xml:space="preserve"> </w:t>
      </w:r>
      <w:r>
        <w:t xml:space="preserve">compliance-roadmap phase 5 (RedHat-on-AWS) timing.</w:t>
      </w:r>
    </w:p>
    <w:bookmarkEnd w:id="14"/>
    <w:bookmarkStart w:id="15" w:name="immediate-next-actions"/>
    <w:p>
      <w:pPr>
        <w:pStyle w:val="Heading2"/>
      </w:pPr>
      <w:r>
        <w:t xml:space="preserve">7. Immediate next actions</w:t>
      </w:r>
    </w:p>
    <w:p>
      <w:pPr>
        <w:pStyle w:val="Compact"/>
        <w:numPr>
          <w:ilvl w:val="0"/>
          <w:numId w:val="1004"/>
        </w:numPr>
      </w:pPr>
      <w:r>
        <w:t xml:space="preserve">Decide the Phase 2 kit’s series home (Vol IX Book 06 vs. new volume) and register</w:t>
      </w:r>
      <w:r>
        <w:t xml:space="preserve"> </w:t>
      </w:r>
      <w:r>
        <w:t xml:space="preserve">it in</w:t>
      </w:r>
      <w:r>
        <w:t xml:space="preserve"> </w:t>
      </w:r>
      <w:r>
        <w:rPr>
          <w:rStyle w:val="VerbatimChar"/>
        </w:rPr>
        <w:t xml:space="preserve">compliance-compliance-spine.yml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Advance the Identity &amp; Access Governance Kit requirements doc to v1.0 (CSI/OIS</w:t>
      </w:r>
      <w:r>
        <w:t xml:space="preserve"> </w:t>
      </w:r>
      <w:r>
        <w:t xml:space="preserve">workshop pass; align with the CR26 Indicator Mapping effort).</w:t>
      </w:r>
    </w:p>
    <w:p>
      <w:pPr>
        <w:pStyle w:val="Compact"/>
        <w:numPr>
          <w:ilvl w:val="0"/>
          <w:numId w:val="1004"/>
        </w:numPr>
      </w:pPr>
      <w:r>
        <w:t xml:space="preserve">Finish the Day-2 Kit’s remaining steps (issue #1139: ATF XML export, update-set</w:t>
      </w:r>
      <w:r>
        <w:t xml:space="preserve"> </w:t>
      </w:r>
      <w:r>
        <w:t xml:space="preserve">assembly, catalog variable sets) so the Phase 1 → 2 gate is testable.</w:t>
      </w:r>
    </w:p>
    <w:p>
      <w:pPr>
        <w:pStyle w:val="Compact"/>
        <w:numPr>
          <w:ilvl w:val="0"/>
          <w:numId w:val="1004"/>
        </w:numPr>
      </w:pPr>
      <w:r>
        <w:rPr>
          <w:strike/>
        </w:rPr>
        <w:t xml:space="preserve">File a tracking issue for the Phase 2 kit (same pattern as #1139–#1141) so the</w:t>
      </w:r>
      <w:r>
        <w:rPr>
          <w:strike/>
        </w:rPr>
        <w:t xml:space="preserve"> </w:t>
      </w:r>
      <w:r>
        <w:rPr>
          <w:strike/>
        </w:rPr>
        <w:t xml:space="preserve">portfolio backlog lives in GitHub, not only in documents.</w:t>
      </w:r>
      <w:r>
        <w:t xml:space="preserve"> </w:t>
      </w:r>
      <w:r>
        <w:rPr>
          <w:b/>
          <w:bCs/>
        </w:rPr>
        <w:t xml:space="preserve">Done — #1221.</w:t>
      </w:r>
    </w:p>
    <w:bookmarkEnd w:id="15"/>
    <w:bookmarkStart w:id="16" w:name="cross-references"/>
    <w:p>
      <w:pPr>
        <w:pStyle w:val="Heading2"/>
      </w:pPr>
      <w:r>
        <w:t xml:space="preserve">8. Cross-references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inbox/Federal_Compliance_Automation_Roadmap.md</w:t>
      </w:r>
      <w:r>
        <w:t xml:space="preserve"> </w:t>
      </w:r>
      <w:r>
        <w:t xml:space="preserve">— lanes A–F, compliance phases 0–5.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docs/customer-documents/compliance-series/Compliance-Training-Program/Compliance_Identity_Access_Governance_Kit_Requirements.docx</w:t>
      </w:r>
      <w:r>
        <w:t xml:space="preserve"> </w:t>
      </w:r>
      <w:r>
        <w:t xml:space="preserve">— Phase 2 kit detailed requirements (Draft v0.9).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docs/customer-documents/compliance-series/Compliance_Series_Requirements.md</w:t>
      </w:r>
      <w:r>
        <w:t xml:space="preserve"> </w:t>
      </w:r>
      <w:r>
        <w:t xml:space="preserve">— series-level requirements document.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docs/customer-documents/compliance-series/Compliance_Vol_VII_ServiceNow_Automation_Plan.md</w:t>
      </w:r>
      <w:r>
        <w:t xml:space="preserve"> </w:t>
      </w:r>
      <w:r>
        <w:t xml:space="preserve">— Vol VII volume plan and doctrine guardrails.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docs/customer-documents/compliance-series/servicenow-day2/README.md</w:t>
      </w:r>
      <w:r>
        <w:t xml:space="preserve"> </w:t>
      </w:r>
      <w:r>
        <w:t xml:space="preserve">— Day-2 Kit data layer and remaining steps.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infoblox-ddi-book/servicenow-app/</w:t>
      </w:r>
      <w:r>
        <w:t xml:space="preserve"> </w:t>
      </w:r>
      <w:r>
        <w:t xml:space="preserve">— DDI Kit scoped-app exemplar.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docs/customer-documents/compliance-series/compliance-compliance-spine.yml</w:t>
      </w:r>
      <w:r>
        <w:t xml:space="preserve"> </w:t>
      </w:r>
      <w:r>
        <w:t xml:space="preserve">— the machine-readable SSOT every kit’s control map projects from.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2026-10-19T10:09:40Z</dcterms:created>
  <dcterms:modified xsi:type="dcterms:W3CDTF">2026-10-19T10:09:40Z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