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Compliance — Evidence &amp; Authorization Contract</w:t>
      </w:r>
    </w:p>
    <w:p>
      <w:pPr>
        <w:pStyle w:val="Subtitle"/>
      </w:pPr>
      <w:r>
        <w:t xml:space="preserve">The open specification any conformant evidence engine can satisfy — the seam that keeps the Federal Compliance Series engine-neutral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9" w:name="Xc42f49b5c25c72315c44dbc97d5bc7adaeaadb9"/>
    <w:p>
      <w:pPr>
        <w:pStyle w:val="Heading1"/>
      </w:pPr>
      <w:r>
        <w:t xml:space="preserve">Compliance — Evidence &amp; Authorization Contract</w:t>
      </w:r>
    </w:p>
    <w:p>
      <w:pPr>
        <w:pStyle w:val="FirstParagraph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06:37 ET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Published (series-owned specification)</w:t>
      </w:r>
      <w:r>
        <w:t xml:space="preserve"> </w:t>
      </w:r>
      <w:r>
        <w:rPr>
          <w:b/>
          <w:bCs/>
        </w:rPr>
        <w:t xml:space="preserve">Scope:</w:t>
      </w:r>
      <w:r>
        <w:t xml:space="preserve"> </w:t>
      </w:r>
      <w:r>
        <w:t xml:space="preserve">FedRAMP Moderate (GCC Moderate / Class C) — Agency consuming-agency RMF/FISMA posture</w:t>
      </w:r>
    </w:p>
    <w:p>
      <w:r>
        <w:pict>
          <v:rect style="width:0;height:1.5pt" o:hralign="center" o:hrstd="t" o:hr="t"/>
        </w:pict>
      </w:r>
    </w:p>
    <w:bookmarkStart w:id="9" w:name="why-this-document-exists"/>
    <w:p>
      <w:pPr>
        <w:pStyle w:val="Heading2"/>
      </w:pPr>
      <w:r>
        <w:t xml:space="preserve">0. Why this document exists</w:t>
      </w:r>
    </w:p>
    <w:p>
      <w:pPr>
        <w:pStyle w:val="FirstParagraph"/>
      </w:pPr>
      <w:r>
        <w:t xml:space="preserve">The Federal Compliance series is two separable things: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The architecture corpus</w:t>
      </w:r>
      <w:r>
        <w:t xml:space="preserve"> </w:t>
      </w:r>
      <w:r>
        <w:t xml:space="preserve">— the books, the control-closure narrative, the</w:t>
      </w:r>
      <w:r>
        <w:t xml:space="preserve"> </w:t>
      </w:r>
      <w:r>
        <w:t xml:space="preserve">“mechanism, not product”</w:t>
      </w:r>
      <w:r>
        <w:t xml:space="preserve"> </w:t>
      </w:r>
      <w:r>
        <w:t xml:space="preserve">doctrine, the seven functional planes, and the</w:t>
      </w:r>
      <w:r>
        <w:t xml:space="preserve"> </w:t>
      </w:r>
      <w:r>
        <w:t xml:space="preserve">coordinated-native management model. This layer is already vendor-neutral and</w:t>
      </w:r>
      <w:r>
        <w:t xml:space="preserve"> </w:t>
      </w:r>
      <w:r>
        <w:t xml:space="preserve">framework-anchored (NIST SP 800-53 Rev 5, FedRAMP 20x / CR26, the CISA/OMB</w:t>
      </w:r>
      <w:r>
        <w:t xml:space="preserve"> </w:t>
      </w:r>
      <w:r>
        <w:t xml:space="preserve">directive timeline). It stands on its own.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The evidence-and-authorization layer</w:t>
      </w:r>
      <w:r>
        <w:t xml:space="preserve"> </w:t>
      </w:r>
      <w:r>
        <w:t xml:space="preserve">— the machine-readable artifacts that</w:t>
      </w:r>
      <w:r>
        <w:t xml:space="preserve"> </w:t>
      </w:r>
      <w:r>
        <w:t xml:space="preserve">prove which mechanism closes which control, on a continuous cadence, in a form</w:t>
      </w:r>
      <w:r>
        <w:t xml:space="preserve"> </w:t>
      </w:r>
      <w:r>
        <w:t xml:space="preserve">an Authorizing Official and a ConMon program can consume.</w:t>
      </w:r>
    </w:p>
    <w:p>
      <w:pPr>
        <w:pStyle w:val="FirstParagraph"/>
      </w:pPr>
      <w:r>
        <w:t xml:space="preserve">This specification defines layer 2</w:t>
      </w:r>
      <w:r>
        <w:t xml:space="preserve"> </w:t>
      </w:r>
      <w:r>
        <w:rPr>
          <w:b/>
          <w:bCs/>
        </w:rPr>
        <w:t xml:space="preserve">as a contract, not as a tool.</w:t>
      </w:r>
      <w:r>
        <w:t xml:space="preserve"> </w:t>
      </w:r>
      <w:r>
        <w:t xml:space="preserve">The series</w:t>
      </w:r>
      <w:r>
        <w:t xml:space="preserve"> </w:t>
      </w:r>
      <w:r>
        <w:t xml:space="preserve">emits to this contract.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conformant evidence engine — a purpose-built</w:t>
      </w:r>
      <w:r>
        <w:t xml:space="preserve"> </w:t>
      </w:r>
      <w:r>
        <w:t xml:space="preserve">governance platform, a FedRAMP-authorized COTS GRC product, or native OSCAL</w:t>
      </w:r>
      <w:r>
        <w:t xml:space="preserve"> </w:t>
      </w:r>
      <w:r>
        <w:t xml:space="preserve">tooling — may satisfy it. The series names none of them, exactly as it names no</w:t>
      </w:r>
      <w:r>
        <w:t xml:space="preserve"> </w:t>
      </w:r>
      <w:r>
        <w:t xml:space="preserve">single DDI, SD-WAN, or SIEM product: mechanism classes are mandatory; the product</w:t>
      </w:r>
      <w:r>
        <w:t xml:space="preserve"> </w:t>
      </w:r>
      <w:r>
        <w:t xml:space="preserve">that implements a class is a per-layer selection the agency makes.</w:t>
      </w:r>
    </w:p>
    <w:p>
      <w:pPr>
        <w:pStyle w:val="BodyText"/>
      </w:pPr>
      <w:r>
        <w:t xml:space="preserve">This is the artifact that lets the Compliance series stand alone. Nothing here depends on</w:t>
      </w:r>
      <w:r>
        <w:t xml:space="preserve"> </w:t>
      </w:r>
      <w:r>
        <w:t xml:space="preserve">any specific downstream implementation.</w:t>
      </w:r>
    </w:p>
    <w:p>
      <w:r>
        <w:pict>
          <v:rect style="width:0;height:1.5pt" o:hralign="center" o:hrstd="t" o:hr="t"/>
        </w:pict>
      </w:r>
    </w:p>
    <w:bookmarkEnd w:id="9"/>
    <w:bookmarkStart w:id="10" w:name="the-three-part-contract"/>
    <w:p>
      <w:pPr>
        <w:pStyle w:val="Heading2"/>
      </w:pPr>
      <w:r>
        <w:t xml:space="preserve">1. The three-part contract</w:t>
      </w:r>
    </w:p>
    <w:p>
      <w:pPr>
        <w:pStyle w:val="FirstParagraph"/>
      </w:pPr>
      <w:r>
        <w:t xml:space="preserve">An evidence engine is</w:t>
      </w:r>
      <w:r>
        <w:t xml:space="preserve"> </w:t>
      </w:r>
      <w:r>
        <w:rPr>
          <w:b/>
          <w:bCs/>
        </w:rPr>
        <w:t xml:space="preserve">Compliance-conformant</w:t>
      </w:r>
      <w:r>
        <w:t xml:space="preserve"> </w:t>
      </w:r>
      <w:r>
        <w:t xml:space="preserve">if it accepts the three inputs in §2–§4</w:t>
      </w:r>
      <w:r>
        <w:t xml:space="preserve"> </w:t>
      </w:r>
      <w:r>
        <w:t xml:space="preserve">and produces the two outputs in §5–§6, honoring the invariants in §7.</w:t>
      </w:r>
    </w:p>
    <w:p>
      <w:r>
        <w:pict>
          <v:rect style="width:0;height:1.5pt" o:hralign="center" o:hrstd="t" o:hr="t"/>
        </w:pict>
      </w:r>
    </w:p>
    <w:bookmarkEnd w:id="10"/>
    <w:bookmarkStart w:id="11" w:name="input-1-the-compliance-spine"/>
    <w:p>
      <w:pPr>
        <w:pStyle w:val="Heading2"/>
      </w:pPr>
      <w:r>
        <w:t xml:space="preserve">2. Input 1 — The compliance spine</w:t>
      </w:r>
    </w:p>
    <w:p>
      <w:pPr>
        <w:pStyle w:val="FirstParagraph"/>
      </w:pPr>
      <w:r>
        <w:t xml:space="preserve">A single generated data artifact (</w:t>
      </w:r>
      <w:r>
        <w:rPr>
          <w:rStyle w:val="VerbatimChar"/>
        </w:rPr>
        <w:t xml:space="preserve">federal-compliance-compliance-spine.yml</w:t>
      </w:r>
      <w:r>
        <w:t xml:space="preserve">) is the series’</w:t>
      </w:r>
      <w:r>
        <w:t xml:space="preserve"> </w:t>
      </w:r>
      <w:r>
        <w:t xml:space="preserve">single source of truth. Every book’s control table renders from it; it is</w:t>
      </w:r>
      <w:r>
        <w:t xml:space="preserve"> </w:t>
      </w:r>
      <w:r>
        <w:t xml:space="preserve">CI drift-gated so no book can assert a closure the spine does not carry.</w:t>
      </w:r>
    </w:p>
    <w:p>
      <w:pPr>
        <w:pStyle w:val="BodyText"/>
      </w:pPr>
      <w:r>
        <w:t xml:space="preserve">Each row is one</w:t>
      </w:r>
      <w:r>
        <w:t xml:space="preserve"> </w:t>
      </w:r>
      <w:r>
        <w:rPr>
          <w:rStyle w:val="VerbatimChar"/>
        </w:rPr>
        <w:t xml:space="preserve">(authority, requirement, mechanism, book, slot, KSI)</w:t>
      </w:r>
      <w:r>
        <w:t xml:space="preserve"> </w:t>
      </w:r>
      <w:r>
        <w:t xml:space="preserve">tuple: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Framework the requirement comes from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NIST SP 800-53 Rev 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requirement_id</w:t>
            </w:r>
          </w:p>
        </w:tc>
        <w:tc>
          <w:tcPr/>
          <w:p>
            <w:pPr>
              <w:pStyle w:val="Compact"/>
            </w:pPr>
            <w:r>
              <w:t xml:space="preserve">Control / indicator identifier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IA-3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requirement_text</w:t>
            </w:r>
          </w:p>
        </w:tc>
        <w:tc>
          <w:tcPr/>
          <w:p>
            <w:pPr>
              <w:pStyle w:val="Compact"/>
            </w:pPr>
            <w:r>
              <w:t xml:space="preserve">Verbatim requirement statement</w:t>
            </w:r>
          </w:p>
        </w:tc>
        <w:tc>
          <w:tcPr/>
          <w:p>
            <w:pPr>
              <w:pStyle w:val="Compact"/>
            </w:pPr>
            <w:r>
              <w:t xml:space="preserve">“The information system uniquely identifies and authenticates …”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mechanism_class</w:t>
            </w:r>
          </w:p>
        </w:tc>
        <w:tc>
          <w:tcPr/>
          <w:p>
            <w:pPr>
              <w:pStyle w:val="Compact"/>
            </w:pPr>
            <w:r>
              <w:t xml:space="preserve">The protocol/behavior that closes it (never a product)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port-based network authentication (802.1X EAP-TLS)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Series book that demonstrates the mechanism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Vol I Book 02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evidence_slot</w:t>
            </w:r>
          </w:p>
        </w:tc>
        <w:tc>
          <w:tcPr/>
          <w:p>
            <w:pPr>
              <w:pStyle w:val="Compact"/>
            </w:pPr>
            <w:r>
              <w:t xml:space="preserve">Which evidence slot carries the proof (§3)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slot-03-network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ksi_ref</w:t>
            </w:r>
          </w:p>
        </w:tc>
        <w:tc>
          <w:tcPr/>
          <w:p>
            <w:pPr>
              <w:pStyle w:val="Compact"/>
            </w:pPr>
            <w:r>
              <w:t xml:space="preserve">FedRAMP 20x KSI indicator(s) the row contributes to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KSI-CNA-*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attestable_by_tooling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  <w:r>
              <w:t xml:space="preserve"> </w:t>
            </w:r>
            <w:r>
              <w:t xml:space="preserve">if a conformance scanner alone can attest;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if the architecture must exist first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rPr>
          <w:b/>
          <w:bCs/>
        </w:rPr>
        <w:t xml:space="preserve">Invariant:</w:t>
      </w:r>
      <w:r>
        <w:t xml:space="preserve"> </w:t>
      </w:r>
      <w:r>
        <w:rPr>
          <w:rStyle w:val="VerbatimChar"/>
        </w:rPr>
        <w:t xml:space="preserve">mechanism_class</w:t>
      </w:r>
      <w:r>
        <w:t xml:space="preserve"> </w:t>
      </w:r>
      <w:r>
        <w:t xml:space="preserve">is falsifiable and names no vendor.</w:t>
      </w:r>
      <w:r>
        <w:t xml:space="preserve"> </w:t>
      </w:r>
      <w:r>
        <w:t xml:space="preserve">“Only</w:t>
      </w:r>
      <w:r>
        <w:t xml:space="preserve"> </w:t>
      </w:r>
      <w:r>
        <w:t xml:space="preserve">port-based authentication closes IA-3”</w:t>
      </w:r>
      <w:r>
        <w:t xml:space="preserve"> </w:t>
      </w:r>
      <w:r>
        <w:t xml:space="preserve">is a claim about protocol behavior. The</w:t>
      </w:r>
      <w:r>
        <w:t xml:space="preserve"> </w:t>
      </w:r>
      <w:r>
        <w:t xml:space="preserve">deployed product that realizes the mechanism is recorded elsewhere (the agency’s</w:t>
      </w:r>
      <w:r>
        <w:t xml:space="preserve"> </w:t>
      </w:r>
      <w:r>
        <w:t xml:space="preserve">selection record), never in the spine.</w:t>
      </w:r>
    </w:p>
    <w:p>
      <w:r>
        <w:pict>
          <v:rect style="width:0;height:1.5pt" o:hralign="center" o:hrstd="t" o:hr="t"/>
        </w:pict>
      </w:r>
    </w:p>
    <w:bookmarkEnd w:id="11"/>
    <w:bookmarkStart w:id="12" w:name="input-2-evidence-slot-records"/>
    <w:p>
      <w:pPr>
        <w:pStyle w:val="Heading2"/>
      </w:pPr>
      <w:r>
        <w:t xml:space="preserve">3. Input 2 — Evidence slot records</w:t>
      </w:r>
    </w:p>
    <w:p>
      <w:pPr>
        <w:pStyle w:val="FirstParagraph"/>
      </w:pPr>
      <w:r>
        <w:t xml:space="preserve">Evidence is organized into</w:t>
      </w:r>
      <w:r>
        <w:t xml:space="preserve"> </w:t>
      </w:r>
      <w:r>
        <w:rPr>
          <w:b/>
          <w:bCs/>
        </w:rPr>
        <w:t xml:space="preserve">eight numbered slots</w:t>
      </w:r>
      <w:r>
        <w:t xml:space="preserve">. A slot is a stable evidence</w:t>
      </w:r>
      <w:r>
        <w:t xml:space="preserve"> </w:t>
      </w:r>
      <w:r>
        <w:t xml:space="preserve">category; books bind their proofs into slots, and the engine evaluates per slot.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Slot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Representative books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slot-01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Certs/Tokens; HRIT SSOT; Entra/ZTNA; PAM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slot-02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Data Protection (Purview / CMK)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slot-03</w:t>
            </w:r>
          </w:p>
        </w:tc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DDI/IPAM; NAC/802.1X; SD-WAN/SASE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slot-04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Vuln mgmt; Data protection; SIEM/XDR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slot-05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NAC posture; PAM; Vuln mgmt; PII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slot-06</w:t>
            </w:r>
          </w:p>
        </w:tc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Vuln mgmt; SIEM; SCRM; PM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slot-07</w:t>
            </w:r>
          </w:p>
        </w:tc>
        <w:tc>
          <w:tcPr/>
          <w:p>
            <w:pPr>
              <w:pStyle w:val="Compact"/>
            </w:pPr>
            <w:r>
              <w:t xml:space="preserve">continuity</w:t>
            </w:r>
          </w:p>
        </w:tc>
        <w:tc>
          <w:tcPr/>
          <w:p>
            <w:pPr>
              <w:pStyle w:val="Compact"/>
            </w:pPr>
            <w:r>
              <w:t xml:space="preserve">Business Continuity / Contingency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slot-08</w:t>
            </w:r>
          </w:p>
        </w:tc>
        <w:tc>
          <w:tcPr/>
          <w:p>
            <w:pPr>
              <w:pStyle w:val="Compact"/>
            </w:pPr>
            <w:r>
              <w:t xml:space="preserve">training</w:t>
            </w:r>
          </w:p>
        </w:tc>
        <w:tc>
          <w:tcPr/>
          <w:p>
            <w:pPr>
              <w:pStyle w:val="Compact"/>
            </w:pPr>
            <w:r>
              <w:t xml:space="preserve">Cybersecurity Awareness &amp; Training</w:t>
            </w:r>
          </w:p>
        </w:tc>
      </w:tr>
    </w:tbl>
    <w:p>
      <w:pPr>
        <w:pStyle w:val="BodyText"/>
      </w:pPr>
      <w:r>
        <w:t xml:space="preserve">Each slot record is machine-readable and carries, per evidenced item:</w:t>
      </w:r>
    </w:p>
    <w:p>
      <w:pPr>
        <w:pStyle w:val="SourceCode"/>
      </w:pPr>
      <w:r>
        <w:rPr>
          <w:rStyle w:val="FunctionTok"/>
        </w:rPr>
        <w:t xml:space="preserve">slot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slot-03-network</w:t>
      </w:r>
      <w:r>
        <w:br/>
      </w:r>
      <w:r>
        <w:rPr>
          <w:rStyle w:val="FunctionTok"/>
        </w:rPr>
        <w:t xml:space="preserve">evidence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&lt;stable-evidence-id&gt;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requirement_ids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SC</w:t>
      </w:r>
      <w:r>
        <w:rPr>
          <w:rStyle w:val="DecValTok"/>
        </w:rPr>
        <w:t xml:space="preserve">-8</w:t>
      </w:r>
      <w:r>
        <w:rPr>
          <w:rStyle w:val="KeywordTok"/>
        </w:rPr>
        <w:t xml:space="preserve">,</w:t>
      </w:r>
      <w:r>
        <w:rPr>
          <w:rStyle w:val="AttributeTok"/>
        </w:rPr>
        <w:t xml:space="preserve"> CA</w:t>
      </w:r>
      <w:r>
        <w:rPr>
          <w:rStyle w:val="DecValTok"/>
        </w:rPr>
        <w:t xml:space="preserve">-7</w:t>
      </w:r>
      <w:r>
        <w:rPr>
          <w:rStyle w:val="KeywordTok"/>
        </w:rPr>
        <w:t xml:space="preserve">]</w:t>
      </w:r>
      <w:r>
        <w:rPr>
          <w:rStyle w:val="CommentTok"/>
        </w:rPr>
        <w:t xml:space="preserve">        # controls this item supports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ksi_refs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KSI-CNA-</w:t>
      </w:r>
      <w:r>
        <w:rPr>
          <w:rStyle w:val="OtherTok"/>
        </w:rPr>
        <w:t xml:space="preserve">*]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&lt;named mechanism/system class&gt;</w:t>
      </w:r>
      <w:r>
        <w:rPr>
          <w:rStyle w:val="CommentTok"/>
        </w:rPr>
        <w:t xml:space="preserve">   # e.g. "SD-WAN telemetry"</w:t>
      </w:r>
      <w:r>
        <w:br/>
      </w:r>
      <w:r>
        <w:rPr>
          <w:rStyle w:val="AttributeTok"/>
        </w:rPr>
        <w:t xml:space="preserve">    collected_at: &lt;timestamp&gt;</w:t>
      </w:r>
      <w:r>
        <w:br/>
      </w:r>
      <w:r>
        <w:rPr>
          <w:rStyle w:val="AttributeTok"/>
        </w:rPr>
        <w:t xml:space="preserve">    result: pass | fail | inconclusive</w:t>
      </w:r>
      <w:r>
        <w:br/>
      </w:r>
      <w:r>
        <w:rPr>
          <w:rStyle w:val="AttributeTok"/>
        </w:rPr>
        <w:t xml:space="preserve">    disposition: null | governed_exception | actionable_drift | lapsed_acceptance</w:t>
      </w:r>
      <w:r>
        <w:br/>
      </w:r>
      <w:r>
        <w:rPr>
          <w:rStyle w:val="AttributeTok"/>
        </w:rPr>
        <w:t xml:space="preserve">    poam_ref: &lt;optional POA&amp;M ticket id&gt;</w:t>
      </w:r>
      <w:r>
        <w:br/>
      </w:r>
      <w:r>
        <w:rPr>
          <w:rStyle w:val="AttributeTok"/>
        </w:rPr>
        <w:t xml:space="preserve">    expiry: &lt;optional review-by date&gt;</w:t>
      </w:r>
    </w:p>
    <w:p>
      <w:pPr>
        <w:pStyle w:val="FirstParagraph"/>
      </w:pPr>
      <w:r>
        <w:rPr>
          <w:b/>
          <w:bCs/>
        </w:rPr>
        <w:t xml:space="preserve">Invariant:</w:t>
      </w:r>
      <w:r>
        <w:t xml:space="preserve"> </w:t>
      </w:r>
      <w:r>
        <w:t xml:space="preserve">a slot record is the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thing the engine trusts. Prose in a</w:t>
      </w:r>
      <w:r>
        <w:t xml:space="preserve"> </w:t>
      </w:r>
      <w:r>
        <w:t xml:space="preserve">book is narrative; the slot record is evidence. If the two disagree, the slot</w:t>
      </w:r>
      <w:r>
        <w:t xml:space="preserve"> </w:t>
      </w:r>
      <w:r>
        <w:t xml:space="preserve">record governs and the disagreement is itself a drift finding.</w:t>
      </w:r>
    </w:p>
    <w:p>
      <w:r>
        <w:pict>
          <v:rect style="width:0;height:1.5pt" o:hralign="center" o:hrstd="t" o:hr="t"/>
        </w:pict>
      </w:r>
    </w:p>
    <w:bookmarkEnd w:id="12"/>
    <w:bookmarkStart w:id="13" w:name="input-3-cadence-and-disposition-rules"/>
    <w:p>
      <w:pPr>
        <w:pStyle w:val="Heading2"/>
      </w:pPr>
      <w:r>
        <w:t xml:space="preserve">4. Input 3 — Cadence and disposition rules</w:t>
      </w:r>
    </w:p>
    <w:p>
      <w:pPr>
        <w:pStyle w:val="FirstParagraph"/>
      </w:pPr>
      <w:r>
        <w:t xml:space="preserve">The contract requires a defined continuous-monitoring cadence and a disposition</w:t>
      </w:r>
      <w:r>
        <w:t xml:space="preserve"> </w:t>
      </w:r>
      <w:r>
        <w:t xml:space="preserve">vocabulary so</w:t>
      </w:r>
      <w:r>
        <w:t xml:space="preserve"> </w:t>
      </w:r>
      <w:r>
        <w:t xml:space="preserve">“satisfied”</w:t>
      </w:r>
      <w:r>
        <w:t xml:space="preserve"> </w:t>
      </w:r>
      <w:r>
        <w:t xml:space="preserve">is never a static claim.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Cadence</w:t>
      </w:r>
      <w:r>
        <w:t xml:space="preserve"> </w:t>
      </w:r>
      <w:r>
        <w:t xml:space="preserve">(CA-7): monthly evidence refresh; quarterly evidence-quality review;</w:t>
      </w:r>
      <w:r>
        <w:t xml:space="preserve"> </w:t>
      </w:r>
      <w:r>
        <w:t xml:space="preserve">semi-annual IR/CP exercise; annual full re-assessment. VDR machine-resource</w:t>
      </w:r>
      <w:r>
        <w:t xml:space="preserve"> </w:t>
      </w:r>
      <w:r>
        <w:t xml:space="preserve">verification cadence follows the applicable class window.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Disposition vocabulary</w:t>
      </w:r>
      <w:r>
        <w:t xml:space="preserve"> </w:t>
      </w:r>
      <w:r>
        <w:t xml:space="preserve">— every evidence item that could fail resolves to one</w:t>
      </w:r>
      <w:r>
        <w:t xml:space="preserve"> </w:t>
      </w:r>
      <w:r>
        <w:t xml:space="preserve">of:</w:t>
      </w:r>
      <w:r>
        <w:t xml:space="preserve"> </w:t>
      </w:r>
      <w:r>
        <w:rPr>
          <w:rStyle w:val="VerbatimChar"/>
        </w:rPr>
        <w:t xml:space="preserve">actionable_drift</w:t>
      </w:r>
      <w:r>
        <w:t xml:space="preserve"> </w:t>
      </w:r>
      <w:r>
        <w:t xml:space="preserve">(new deviation, POA&amp;M-bound),</w:t>
      </w:r>
      <w:r>
        <w:t xml:space="preserve"> </w:t>
      </w:r>
      <w:r>
        <w:rPr>
          <w:rStyle w:val="VerbatimChar"/>
        </w:rPr>
        <w:t xml:space="preserve">governed_exception</w:t>
      </w:r>
      <w:r>
        <w:t xml:space="preserve"> </w:t>
      </w:r>
      <w:r>
        <w:t xml:space="preserve">(deviation backed by a registered boundary/compensating-control decision, with</w:t>
      </w:r>
      <w:r>
        <w:t xml:space="preserve"> </w:t>
      </w:r>
      <w:r>
        <w:t xml:space="preserve">expiry), or</w:t>
      </w:r>
      <w:r>
        <w:t xml:space="preserve"> </w:t>
      </w:r>
      <w:r>
        <w:rPr>
          <w:rStyle w:val="VerbatimChar"/>
        </w:rPr>
        <w:t xml:space="preserve">lapsed_acceptance</w:t>
      </w:r>
      <w:r>
        <w:t xml:space="preserve"> </w:t>
      </w:r>
      <w:r>
        <w:t xml:space="preserve">(a governed exception whose expiry passed —</w:t>
      </w:r>
      <w:r>
        <w:t xml:space="preserve"> </w:t>
      </w:r>
      <w:r>
        <w:t xml:space="preserve">reverts to actionable).</w:t>
      </w:r>
      <w:r>
        <w:t xml:space="preserve"> </w:t>
      </w:r>
      <w:r>
        <w:rPr>
          <w:b/>
          <w:bCs/>
        </w:rPr>
        <w:t xml:space="preserve">No item may be</w:t>
      </w:r>
      <w:r>
        <w:rPr>
          <w:b/>
          <w:bCs/>
        </w:rPr>
        <w:t xml:space="preserve"> </w:t>
      </w:r>
      <w:r>
        <w:rPr>
          <w:b/>
          <w:bCs/>
        </w:rPr>
        <w:t xml:space="preserve">“always satisfied.”</w:t>
      </w:r>
    </w:p>
    <w:p>
      <w:r>
        <w:pict>
          <v:rect style="width:0;height:1.5pt" o:hralign="center" o:hrstd="t" o:hr="t"/>
        </w:pict>
      </w:r>
    </w:p>
    <w:bookmarkEnd w:id="13"/>
    <w:bookmarkStart w:id="14" w:name="output-a-the-oscal-bundle"/>
    <w:p>
      <w:pPr>
        <w:pStyle w:val="Heading2"/>
      </w:pPr>
      <w:r>
        <w:t xml:space="preserve">5. Output A — The OSCAL bundle</w:t>
      </w:r>
    </w:p>
    <w:p>
      <w:pPr>
        <w:pStyle w:val="FirstParagraph"/>
      </w:pPr>
      <w:r>
        <w:t xml:space="preserve">The engine produces a NIST OSCAL</w:t>
      </w:r>
      <w:r>
        <w:t xml:space="preserve"> </w:t>
      </w:r>
      <w:r>
        <w:rPr>
          <w:b/>
          <w:bCs/>
        </w:rPr>
        <w:t xml:space="preserve">Assessment Plan + Assessment Results + POA&amp;M</w:t>
      </w:r>
      <w:r>
        <w:t xml:space="preserve"> </w:t>
      </w:r>
      <w:r>
        <w:t xml:space="preserve">bundle. OSCAL is an open NIST format; this is the deliberate exit-ramp that keeps</w:t>
      </w:r>
      <w:r>
        <w:t xml:space="preserve"> </w:t>
      </w:r>
      <w:r>
        <w:t xml:space="preserve">the series independent of any one engine.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</w:t>
      </w:r>
      <w:r>
        <w:t xml:space="preserve"> </w:t>
      </w:r>
      <w:r>
        <w:t xml:space="preserve">— the assessment plan: which controls, which evidence slots, which cadence.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AR</w:t>
      </w:r>
      <w:r>
        <w:t xml:space="preserve"> </w:t>
      </w:r>
      <w:r>
        <w:t xml:space="preserve">— assessment results with per-KSI verdicts derived from slot records.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POA&amp;M</w:t>
      </w:r>
      <w:r>
        <w:t xml:space="preserve"> </w:t>
      </w:r>
      <w:r>
        <w:t xml:space="preserve">— open items, each with a disposition, mitigating factors drawn from</w:t>
      </w:r>
      <w:r>
        <w:t xml:space="preserve"> </w:t>
      </w:r>
      <w:r>
        <w:t xml:space="preserve">slot evidence, and characterizations.</w:t>
      </w:r>
    </w:p>
    <w:p>
      <w:pPr>
        <w:pStyle w:val="FirstParagraph"/>
      </w:pPr>
      <w:r>
        <w:t xml:space="preserve">Acceptance test:</w:t>
      </w:r>
      <w:r>
        <w:t xml:space="preserve"> </w:t>
      </w:r>
      <w:r>
        <w:rPr>
          <w:rStyle w:val="VerbatimChar"/>
        </w:rPr>
        <w:t xml:space="preserve">29/29</w:t>
      </w:r>
      <w:r>
        <w:t xml:space="preserve"> </w:t>
      </w:r>
      <w:r>
        <w:t xml:space="preserve">(or the reconciled indicator count — see §8) satisfied</w:t>
      </w:r>
      <w:r>
        <w:t xml:space="preserve"> </w:t>
      </w:r>
      <w:r>
        <w:rPr>
          <w:b/>
          <w:bCs/>
        </w:rPr>
        <w:t xml:space="preserve">must</w:t>
      </w:r>
      <w:r>
        <w:t xml:space="preserve"> </w:t>
      </w:r>
      <w:r>
        <w:t xml:space="preserve">be reproducible from the spine + slot records alone, with zero manual</w:t>
      </w:r>
      <w:r>
        <w:t xml:space="preserve"> </w:t>
      </w:r>
      <w:r>
        <w:t xml:space="preserve">edits, and must survive re-generation.</w:t>
      </w:r>
    </w:p>
    <w:p>
      <w:r>
        <w:pict>
          <v:rect style="width:0;height:1.5pt" o:hralign="center" o:hrstd="t" o:hr="t"/>
        </w:pict>
      </w:r>
    </w:p>
    <w:bookmarkEnd w:id="14"/>
    <w:bookmarkStart w:id="15" w:name="X2a85aed9f8c10f3ca04cc0834b6f732a90f9083"/>
    <w:p>
      <w:pPr>
        <w:pStyle w:val="Heading2"/>
      </w:pPr>
      <w:r>
        <w:t xml:space="preserve">6. Output B — The continuous-monitoring stream</w:t>
      </w:r>
    </w:p>
    <w:p>
      <w:pPr>
        <w:pStyle w:val="FirstParagraph"/>
      </w:pPr>
      <w:r>
        <w:t xml:space="preserve">The same engine, on the §4 cadence, re-emits the AR and updates POA&amp;M dispositions.</w:t>
      </w:r>
      <w:r>
        <w:t xml:space="preserve"> </w:t>
      </w:r>
      <w:r>
        <w:t xml:space="preserve">The ConMon stream is not a separate reporting chore — it is the monitoring output.</w:t>
      </w:r>
      <w:r>
        <w:t xml:space="preserve"> </w:t>
      </w:r>
      <w:r>
        <w:t xml:space="preserve">This output feeds agency FISMA/CDM reporting and the CA-7 program described in the</w:t>
      </w:r>
      <w:r>
        <w:t xml:space="preserve"> </w:t>
      </w:r>
      <w:r>
        <w:t xml:space="preserve">Authorization Package book.</w:t>
      </w:r>
    </w:p>
    <w:p>
      <w:r>
        <w:pict>
          <v:rect style="width:0;height:1.5pt" o:hralign="center" o:hrstd="t" o:hr="t"/>
        </w:pict>
      </w:r>
    </w:p>
    <w:bookmarkEnd w:id="15"/>
    <w:bookmarkStart w:id="16" w:name="X6f4d4a6458f8263e4c7159bcb11937ec7d7c4ea"/>
    <w:p>
      <w:pPr>
        <w:pStyle w:val="Heading2"/>
      </w:pPr>
      <w:r>
        <w:t xml:space="preserve">7. Conformance invariants (the whole contract in five rules)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Spine is SSOT.</w:t>
      </w:r>
      <w:r>
        <w:t xml:space="preserve"> </w:t>
      </w:r>
      <w:r>
        <w:t xml:space="preserve">No book asserts a closure the spine does not carry; CI gates this.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Mechanism, not product.</w:t>
      </w:r>
      <w:r>
        <w:t xml:space="preserve"> </w:t>
      </w:r>
      <w:r>
        <w:t xml:space="preserve">Closure claims name protocol behavior, never a vendor.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Slot record is truth.</w:t>
      </w:r>
      <w:r>
        <w:t xml:space="preserve"> </w:t>
      </w:r>
      <w:r>
        <w:t xml:space="preserve">Narrative never overrides a machine-readable slot record.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Nothing is always satisfied.</w:t>
      </w:r>
      <w:r>
        <w:t xml:space="preserve"> </w:t>
      </w:r>
      <w:r>
        <w:t xml:space="preserve">Every failable item carries a live disposition.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OSCAL is the boundary.</w:t>
      </w:r>
      <w:r>
        <w:t xml:space="preserve"> </w:t>
      </w:r>
      <w:r>
        <w:t xml:space="preserve">Outputs are open-format so the engine is swappable.</w:t>
      </w:r>
    </w:p>
    <w:p>
      <w:pPr>
        <w:pStyle w:val="FirstParagraph"/>
      </w:pPr>
      <w:r>
        <w:t xml:space="preserve">An engine that honors these five is conformant. The series does not care which</w:t>
      </w:r>
      <w:r>
        <w:t xml:space="preserve"> </w:t>
      </w:r>
      <w:r>
        <w:t xml:space="preserve">engine it is — only that the contract holds.</w:t>
      </w:r>
    </w:p>
    <w:p>
      <w:r>
        <w:pict>
          <v:rect style="width:0;height:1.5pt" o:hralign="center" o:hrstd="t" o:hr="t"/>
        </w:pict>
      </w:r>
    </w:p>
    <w:bookmarkEnd w:id="16"/>
    <w:bookmarkStart w:id="17" w:name="known-open-the-ksi-count-reconciliation"/>
    <w:p>
      <w:pPr>
        <w:pStyle w:val="Heading2"/>
      </w:pPr>
      <w:r>
        <w:t xml:space="preserve">8. Known open — the KSI-count reconciliation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“29 KSI rules”</w:t>
      </w:r>
      <w:r>
        <w:t xml:space="preserve"> </w:t>
      </w:r>
      <w:r>
        <w:t xml:space="preserve">cited throughout the series are an internal rule decomposition,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published FedRAMP CR26 Moderate KSI catalog. Until the internal rule</w:t>
      </w:r>
      <w:r>
        <w:t xml:space="preserve"> </w:t>
      </w:r>
      <w:r>
        <w:t xml:space="preserve">set is diffed indicator-by-indicator against the finalized CR26 Moderate list and</w:t>
      </w:r>
      <w:r>
        <w:t xml:space="preserve"> </w:t>
      </w:r>
      <w:r>
        <w:t xml:space="preserve">the mapping is stated explicitly,</w:t>
      </w:r>
      <w:r>
        <w:t xml:space="preserve"> </w:t>
      </w:r>
      <w:r>
        <w:t xml:space="preserve">“29/29 satisfied”</w:t>
      </w:r>
      <w:r>
        <w:t xml:space="preserve"> </w:t>
      </w:r>
      <w:r>
        <w:t xml:space="preserve">is a claim about the internal</w:t>
      </w:r>
      <w:r>
        <w:t xml:space="preserve"> </w:t>
      </w:r>
      <w:r>
        <w:t xml:space="preserve">rule set — not about coverage of the full CR26 indicator surface. Closing this is a</w:t>
      </w:r>
      <w:r>
        <w:t xml:space="preserve"> </w:t>
      </w:r>
      <w:r>
        <w:t xml:space="preserve">precondition for the authorization-package claim and is tracked as the series’ #1</w:t>
      </w:r>
      <w:r>
        <w:t xml:space="preserve"> </w:t>
      </w:r>
      <w:r>
        <w:t xml:space="preserve">evidence-layer open item.</w:t>
      </w:r>
      <w:r>
        <w:t xml:space="preserve"> </w:t>
      </w:r>
      <w:r>
        <w:rPr>
          <w:b/>
          <w:bCs/>
        </w:rPr>
        <w:t xml:space="preserve">This reconciliation is the responsibility of whatever</w:t>
      </w:r>
      <w:r>
        <w:rPr>
          <w:b/>
          <w:bCs/>
        </w:rPr>
        <w:t xml:space="preserve"> </w:t>
      </w:r>
      <w:r>
        <w:rPr>
          <w:b/>
          <w:bCs/>
        </w:rPr>
        <w:t xml:space="preserve">engine implements this contract</w:t>
      </w:r>
      <w:r>
        <w:t xml:space="preserve">, and its result must be reflected back into the</w:t>
      </w:r>
      <w:r>
        <w:t xml:space="preserve"> </w:t>
      </w:r>
      <w:r>
        <w:t xml:space="preserve">spine (</w:t>
      </w:r>
      <w:r>
        <w:rPr>
          <w:rStyle w:val="VerbatimChar"/>
        </w:rPr>
        <w:t xml:space="preserve">ksi_ref</w:t>
      </w:r>
      <w:r>
        <w:t xml:space="preserve"> </w:t>
      </w:r>
      <w:r>
        <w:t xml:space="preserve">column) before the AR count is asserted externally.</w:t>
      </w:r>
    </w:p>
    <w:p>
      <w:r>
        <w:pict>
          <v:rect style="width:0;height:1.5pt" o:hralign="center" o:hrstd="t" o:hr="t"/>
        </w:pict>
      </w:r>
    </w:p>
    <w:bookmarkEnd w:id="17"/>
    <w:bookmarkStart w:id="18" w:name="what-this-buys-the-series"/>
    <w:p>
      <w:pPr>
        <w:pStyle w:val="Heading2"/>
      </w:pPr>
      <w:r>
        <w:t xml:space="preserve">9. What this buys the series</w:t>
      </w:r>
    </w:p>
    <w:p>
      <w:pPr>
        <w:pStyle w:val="FirstParagraph"/>
      </w:pPr>
      <w:r>
        <w:t xml:space="preserve">With this contract in hand, the Compliance corpus is complete and self-standing: an</w:t>
      </w:r>
      <w:r>
        <w:t xml:space="preserve"> </w:t>
      </w:r>
      <w:r>
        <w:t xml:space="preserve">architecture that demonstrates control closure, plus a precise, open-format</w:t>
      </w:r>
      <w:r>
        <w:t xml:space="preserve"> </w:t>
      </w:r>
      <w:r>
        <w:t xml:space="preserve">specification of the evidence it emits. The choice of evidence engine becomes a</w:t>
      </w:r>
      <w:r>
        <w:t xml:space="preserve"> </w:t>
      </w:r>
      <w:r>
        <w:t xml:space="preserve">downstream procurement decision on the same footing as the choice of DDI or SIEM —</w:t>
      </w:r>
      <w:r>
        <w:t xml:space="preserve"> </w:t>
      </w:r>
      <w:r>
        <w:t xml:space="preserve">evaluated on its merits, swappable by the OSCAL boundary, and named nowhere in the</w:t>
      </w:r>
      <w:r>
        <w:t xml:space="preserve"> </w:t>
      </w:r>
      <w:r>
        <w:t xml:space="preserve">books.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— Evidence &amp; Authorization Contract</dc:title>
  <dc:creator/>
  <cp:keywords/>
  <dcterms:created xsi:type="dcterms:W3CDTF">2026-10-19T10:09:40Z</dcterms:created>
  <dcterms:modified xsi:type="dcterms:W3CDTF">2026-10-19T10:09:40Z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dience">
    <vt:lpwstr>Program owners · ISSOs · evidence-engine implementers · assessors</vt:lpwstr>
  </property>
  <property fmtid="{D5CDD505-2E9C-101B-9397-08002B2CF9AE}" pid="5" name="biblio-config">
    <vt:lpwstr>True</vt:lpwstr>
  </property>
  <property fmtid="{D5CDD505-2E9C-101B-9397-08002B2CF9AE}" pid="6" name="date-format">
    <vt:lpwstr>YYYY-MM-DD HH:mm [ET]</vt:lpwstr>
  </property>
  <property fmtid="{D5CDD505-2E9C-101B-9397-08002B2CF9AE}" pid="7" name="doc-type">
    <vt:lpwstr>specification</vt:lpwstr>
  </property>
  <property fmtid="{D5CDD505-2E9C-101B-9397-08002B2CF9AE}" pid="8" name="family">
    <vt:lpwstr>federal-compliance-series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2027-01-18</vt:lpwstr>
  </property>
  <property fmtid="{D5CDD505-2E9C-101B-9397-08002B2CF9AE}" pid="15" name="subtitle">
    <vt:lpwstr>The open specification any conformant evidence engine can satisfy — the seam that keeps the Federal Compliance Series engine-neutral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