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0 Book 00a — Federal Compliance — Executive Brief</w:t>
      </w:r>
    </w:p>
    <w:p>
      <w:pPr>
        <w:pStyle w:val="Subtitle"/>
      </w:pPr>
      <w:r>
        <w:t xml:space="preserve">Two-page decision brief for authorizing officials, program executives, and budget decision-makers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2026-07-20 00:10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Read this first. It is the two-page brief.</w:t>
      </w:r>
      <w:r>
        <w:t xml:space="preserve"> </w:t>
      </w:r>
      <w:r>
        <w:t xml:space="preserve">The technical body — the per-book</w:t>
      </w:r>
      <w:r>
        <w:t xml:space="preserve"> </w:t>
      </w:r>
      <w:r>
        <w:t xml:space="preserve">NIST SP 800-53 control-closure tables — lives in</w:t>
      </w:r>
      <w:r>
        <w:t xml:space="preserve"> </w:t>
      </w:r>
      <w:r>
        <w:rPr>
          <w:b/>
          <w:bCs/>
        </w:rPr>
        <w:t xml:space="preserve">Vol 0 Book 00 (the Executive</w:t>
      </w:r>
      <w:r>
        <w:rPr>
          <w:b/>
          <w:bCs/>
        </w:rPr>
        <w:t xml:space="preserve"> </w:t>
      </w:r>
      <w:r>
        <w:rPr>
          <w:b/>
          <w:bCs/>
        </w:rPr>
        <w:t xml:space="preserve">Summary / technical compendium)</w:t>
      </w:r>
      <w:r>
        <w:t xml:space="preserve">. This brief carries only the thesis, the</w:t>
      </w:r>
      <w:r>
        <w:t xml:space="preserve"> </w:t>
      </w:r>
      <w:r>
        <w:t xml:space="preserve">deadlines that bind, the decisions we need, and what inaction costs.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20:10 ET</w:t>
      </w:r>
    </w:p>
    <w:bookmarkStart w:id="9" w:name="the-thesis-in-one-paragraph"/>
    <w:p>
      <w:pPr>
        <w:pStyle w:val="Heading2"/>
      </w:pPr>
      <w:r>
        <w:t xml:space="preserve">The thesis, in one paragraph</w:t>
      </w:r>
    </w:p>
    <w:p>
      <w:pPr>
        <w:pStyle w:val="FirstParagraph"/>
      </w:pPr>
      <w:r>
        <w:t xml:space="preserve">Agency’s federal compliance debt is</w:t>
      </w:r>
      <w:r>
        <w:t xml:space="preserve"> </w:t>
      </w:r>
      <w:r>
        <w:rPr>
          <w:b/>
          <w:bCs/>
        </w:rPr>
        <w:t xml:space="preserve">not a resource shortage — it is an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architectural pattern mismatch.</w:t>
      </w:r>
      <w:r>
        <w:t xml:space="preserve"> </w:t>
      </w:r>
      <w:r>
        <w:t xml:space="preserve">The estate was built for a world where compute,</w:t>
      </w:r>
      <w:r>
        <w:t xml:space="preserve"> </w:t>
      </w:r>
      <w:r>
        <w:t xml:space="preserve">identity, and communication sat inside a perimeter; the controls now required</w:t>
      </w:r>
      <w:r>
        <w:t xml:space="preserve"> </w:t>
      </w:r>
      <w:r>
        <w:t xml:space="preserve">under Executive Order 14028, OMB M-22-09, TIC 3.0, and the FedRAMP 20x</w:t>
      </w:r>
      <w:r>
        <w:t xml:space="preserve"> </w:t>
      </w:r>
      <w:r>
        <w:t xml:space="preserve">Consolidated Rules (CR26) cannot be satisfied by a perimeter architecture at any</w:t>
      </w:r>
      <w:r>
        <w:t xml:space="preserve"> </w:t>
      </w:r>
      <w:r>
        <w:t xml:space="preserve">budget. The implementations in this series are therefore</w:t>
      </w:r>
      <w:r>
        <w:t xml:space="preserve"> </w:t>
      </w:r>
      <w:r>
        <w:rPr>
          <w:b/>
          <w:bCs/>
        </w:rPr>
        <w:t xml:space="preserve">structural</w:t>
      </w:r>
      <w:r>
        <w:rPr>
          <w:b/>
          <w:bCs/>
        </w:rPr>
        <w:t xml:space="preserve"> </w:t>
      </w:r>
      <w:r>
        <w:rPr>
          <w:b/>
          <w:bCs/>
        </w:rPr>
        <w:t xml:space="preserve">prerequisites for an agency Moderate authorization whose evidence survives the</w:t>
      </w:r>
      <w:r>
        <w:rPr>
          <w:b/>
          <w:bCs/>
        </w:rPr>
        <w:t xml:space="preserve"> </w:t>
      </w:r>
      <w:r>
        <w:rPr>
          <w:b/>
          <w:bCs/>
        </w:rPr>
        <w:t xml:space="preserve">FedRAMP 20x transition</w:t>
      </w:r>
      <w:r>
        <w:t xml:space="preserve">, not optional modernization projects. A small number of</w:t>
      </w:r>
      <w:r>
        <w:t xml:space="preserve"> </w:t>
      </w:r>
      <w:r>
        <w:t xml:space="preserve">“truth-plane”</w:t>
      </w:r>
      <w:r>
        <w:t xml:space="preserve"> </w:t>
      </w:r>
      <w:r>
        <w:t xml:space="preserve">mechanisms — authoritative</w:t>
      </w:r>
      <w:r>
        <w:t xml:space="preserve"> </w:t>
      </w:r>
      <w:r>
        <w:rPr>
          <w:b/>
          <w:bCs/>
        </w:rPr>
        <w:t xml:space="preserve">IPAM/DDI</w:t>
      </w:r>
      <w:r>
        <w:t xml:space="preserve"> </w:t>
      </w:r>
      <w:r>
        <w:t xml:space="preserve">naming, cryptographic</w:t>
      </w:r>
      <w:r>
        <w:t xml:space="preserve"> </w:t>
      </w:r>
      <w:r>
        <w:rPr>
          <w:b/>
          <w:bCs/>
        </w:rPr>
        <w:t xml:space="preserve">identity</w:t>
      </w:r>
      <w:r>
        <w:t xml:space="preserve">, and a unified</w:t>
      </w:r>
      <w:r>
        <w:t xml:space="preserve"> </w:t>
      </w:r>
      <w:r>
        <w:rPr>
          <w:b/>
          <w:bCs/>
        </w:rPr>
        <w:t xml:space="preserve">evidence</w:t>
      </w:r>
      <w:r>
        <w:t xml:space="preserve"> </w:t>
      </w:r>
      <w:r>
        <w:t xml:space="preserve">contract — are load-bearing: everything</w:t>
      </w:r>
      <w:r>
        <w:t xml:space="preserve"> </w:t>
      </w:r>
      <w:r>
        <w:t xml:space="preserve">else can be re-platformed; these can only be depended on.</w:t>
      </w:r>
    </w:p>
    <w:bookmarkEnd w:id="9"/>
    <w:bookmarkStart w:id="10" w:name="the-three-deadlines-that-bind"/>
    <w:p>
      <w:pPr>
        <w:pStyle w:val="Heading2"/>
      </w:pPr>
      <w:r>
        <w:t xml:space="preserve">The three deadlines that bind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50"/>
        <w:gridCol w:w="2917"/>
        <w:gridCol w:w="375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Why it binds Agency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Aug 31, 2026</w:t>
            </w:r>
          </w:p>
        </w:tc>
        <w:tc>
          <w:tcPr/>
          <w:p>
            <w:pPr>
              <w:pStyle w:val="Compact"/>
            </w:pPr>
            <w:r>
              <w:t xml:space="preserve">FedRAMP 20x</w:t>
            </w:r>
            <w:r>
              <w:t xml:space="preserve"> </w:t>
            </w:r>
            <w:r>
              <w:rPr>
                <w:b/>
                <w:bCs/>
              </w:rPr>
              <w:t xml:space="preserve">Class B + C opens</w:t>
            </w:r>
          </w:p>
        </w:tc>
        <w:tc>
          <w:tcPr/>
          <w:p>
            <w:pPr>
              <w:pStyle w:val="Compact"/>
            </w:pPr>
            <w:r>
              <w:t xml:space="preserve">The pipeline Agency’s inherited Moderate providers enter —</w:t>
            </w:r>
            <w:r>
              <w:t xml:space="preserve"> </w:t>
            </w:r>
            <w:r>
              <w:rPr>
                <w:b/>
                <w:bCs/>
              </w:rPr>
              <w:t xml:space="preserve">Agency’s window</w:t>
            </w:r>
            <w:r>
              <w:t xml:space="preserve">. The substrate must exist to structure inherited evidence cleanly.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 7, 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BOD 26-04 VDR/VER</w:t>
            </w:r>
            <w:r>
              <w:t xml:space="preserve"> </w:t>
            </w:r>
            <w:r>
              <w:t xml:space="preserve">in force</w:t>
            </w:r>
          </w:p>
        </w:tc>
        <w:tc>
          <w:tcPr/>
          <w:p>
            <w:pPr>
              <w:pStyle w:val="Compact"/>
            </w:pPr>
            <w:r>
              <w:t xml:space="preserve">SBOM + vendor disclosure required; risk-based remediation timelines live.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Jan 1, 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CR26 mandatory</w:t>
            </w:r>
          </w:p>
        </w:tc>
        <w:tc>
          <w:tcPr/>
          <w:p>
            <w:pPr>
              <w:pStyle w:val="Compact"/>
            </w:pPr>
            <w:r>
              <w:t xml:space="preserve">All ConMon evidence must be machine-readable KSI format.</w:t>
            </w:r>
          </w:p>
        </w:tc>
      </w:tr>
    </w:tbl>
    <w:p>
      <w:pPr>
        <w:pStyle w:val="BodyText"/>
      </w:pPr>
      <w:r>
        <w:t xml:space="preserve">Two nearer non-FedRAMP clocks also run against controls this series closes:</w:t>
      </w:r>
      <w:r>
        <w:t xml:space="preserve"> </w:t>
      </w:r>
      <w:r>
        <w:rPr>
          <w:b/>
          <w:bCs/>
        </w:rPr>
        <w:t xml:space="preserve">Aug 7, 2026</w:t>
      </w:r>
      <w:r>
        <w:t xml:space="preserve"> </w:t>
      </w:r>
      <w:r>
        <w:t xml:space="preserve">(BOD 26-04 agency policies due) and</w:t>
      </w:r>
      <w:r>
        <w:t xml:space="preserve"> </w:t>
      </w:r>
      <w:r>
        <w:rPr>
          <w:b/>
          <w:bCs/>
        </w:rPr>
        <w:t xml:space="preserve">Sep 21, 2026</w:t>
      </w:r>
      <w:r>
        <w:t xml:space="preserve"> </w:t>
      </w:r>
      <w:r>
        <w:t xml:space="preserve">(FIPS 140-2</w:t>
      </w:r>
      <w:r>
        <w:t xml:space="preserve"> </w:t>
      </w:r>
      <w:r>
        <w:t xml:space="preserve">certificates move to the NIST Historical List). The fully-sourced narrative</w:t>
      </w:r>
      <w:r>
        <w:t xml:space="preserve"> </w:t>
      </w:r>
      <w:r>
        <w:t xml:space="preserve">timeline is the</w:t>
      </w:r>
      <w:r>
        <w:t xml:space="preserve"> </w:t>
      </w:r>
      <w:r>
        <w:rPr>
          <w:i/>
          <w:iCs/>
        </w:rPr>
        <w:t xml:space="preserve">ConMon Gap Roadmap</w:t>
      </w:r>
      <w:r>
        <w:t xml:space="preserve">; the binding dates come from</w:t>
      </w:r>
      <w:r>
        <w:t xml:space="preserve"> </w:t>
      </w:r>
      <w:r>
        <w:rPr>
          <w:rStyle w:val="VerbatimChar"/>
        </w:rPr>
        <w:t xml:space="preserve">federal-compliance-authority-deadlines.yml</w:t>
      </w:r>
      <w:r>
        <w:t xml:space="preserve">, the gated registry that is the single source of</w:t>
      </w:r>
      <w:r>
        <w:t xml:space="preserve"> </w:t>
      </w:r>
      <w:r>
        <w:t xml:space="preserve">truth for every federal date the series cites.</w:t>
      </w:r>
    </w:p>
    <w:bookmarkEnd w:id="10"/>
    <w:bookmarkStart w:id="11" w:name="decisions-required-from-ois-cio"/>
    <w:p>
      <w:pPr>
        <w:pStyle w:val="Heading2"/>
      </w:pPr>
      <w:r>
        <w:t xml:space="preserve">Decisions required from OIS / CIO</w:t>
      </w:r>
    </w:p>
    <w:p>
      <w:pPr>
        <w:pStyle w:val="FirstParagraph"/>
      </w:pPr>
      <w:r>
        <w:t xml:space="preserve">This work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been reviewed or endorsed by OIS or the CIO — the authoring</w:t>
      </w:r>
      <w:r>
        <w:t xml:space="preserve"> </w:t>
      </w:r>
      <w:r>
        <w:t xml:space="preserve">team does not hold that authority, and this is a required step before any</w:t>
      </w:r>
      <w:r>
        <w:t xml:space="preserve"> </w:t>
      </w:r>
      <w:r>
        <w:t xml:space="preserve">commitment. The specific decisions: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Endorse (or redirect) the architecture doctrine.</w:t>
      </w:r>
      <w:r>
        <w:t xml:space="preserve"> </w:t>
      </w:r>
      <w:r>
        <w:t xml:space="preserve">Owner:</w:t>
      </w:r>
      <w:r>
        <w:t xml:space="preserve"> </w:t>
      </w:r>
      <w:r>
        <w:rPr>
          <w:b/>
          <w:bCs/>
        </w:rPr>
        <w:t xml:space="preserve">OIS + CIO</w:t>
      </w:r>
      <w:r>
        <w:t xml:space="preserve"> </w:t>
      </w:r>
      <w:r>
        <w:t xml:space="preserve">·</w:t>
      </w:r>
      <w:r>
        <w:t xml:space="preserve"> </w:t>
      </w:r>
      <w:r>
        <w:t xml:space="preserve">By:</w:t>
      </w:r>
      <w:r>
        <w:t xml:space="preserve"> </w:t>
      </w:r>
      <w:r>
        <w:rPr>
          <w:b/>
          <w:bCs/>
        </w:rPr>
        <w:t xml:space="preserve">before any procurement or build commitment.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Accept the ServiceNow High-on-Moderate boundary treatment, or name a</w:t>
      </w:r>
      <w:r>
        <w:rPr>
          <w:b/>
          <w:bCs/>
        </w:rPr>
        <w:t xml:space="preserve"> </w:t>
      </w:r>
      <w:r>
        <w:rPr>
          <w:b/>
          <w:bCs/>
        </w:rPr>
        <w:t xml:space="preserve">Moderate-authorized alternative.</w:t>
      </w:r>
      <w:r>
        <w:t xml:space="preserve"> </w:t>
      </w:r>
      <w:r>
        <w:t xml:space="preserve">ServiceNow Government Cloud is FedRAMP</w:t>
      </w:r>
      <w:r>
        <w:t xml:space="preserve"> </w:t>
      </w:r>
      <w:r>
        <w:rPr>
          <w:i/>
          <w:iCs/>
        </w:rPr>
        <w:t xml:space="preserve">High</w:t>
      </w:r>
      <w:r>
        <w:t xml:space="preserve"> </w:t>
      </w:r>
      <w:r>
        <w:t xml:space="preserve">coordinating a</w:t>
      </w:r>
      <w:r>
        <w:t xml:space="preserve"> </w:t>
      </w:r>
      <w:r>
        <w:rPr>
          <w:i/>
          <w:iCs/>
        </w:rPr>
        <w:t xml:space="preserve">Moderate</w:t>
      </w:r>
      <w:r>
        <w:t xml:space="preserve"> </w:t>
      </w:r>
      <w:r>
        <w:t xml:space="preserve">boundary (a conservative delta). Owner:</w:t>
      </w:r>
      <w:r>
        <w:t xml:space="preserve"> </w:t>
      </w:r>
      <w:r>
        <w:rPr>
          <w:b/>
          <w:bCs/>
        </w:rPr>
        <w:t xml:space="preserve">AO / ISSO</w:t>
      </w:r>
      <w:r>
        <w:t xml:space="preserve"> </w:t>
      </w:r>
      <w:r>
        <w:t xml:space="preserve">· By:</w:t>
      </w:r>
      <w:r>
        <w:t xml:space="preserve"> </w:t>
      </w:r>
      <w:r>
        <w:rPr>
          <w:b/>
          <w:bCs/>
        </w:rPr>
        <w:t xml:space="preserve">before the Vol VII–IX build.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Fund the load-bearing substrate first</w:t>
      </w:r>
      <w:r>
        <w:t xml:space="preserve"> </w:t>
      </w:r>
      <w:r>
        <w:t xml:space="preserve">— IPAM/DDI, then the SD-WAN transport</w:t>
      </w:r>
      <w:r>
        <w:t xml:space="preserve"> </w:t>
      </w:r>
      <w:r>
        <w:t xml:space="preserve">overlay and TIC 3.0 enforcement. Owner:</w:t>
      </w:r>
      <w:r>
        <w:t xml:space="preserve"> </w:t>
      </w:r>
      <w:r>
        <w:rPr>
          <w:b/>
          <w:bCs/>
        </w:rPr>
        <w:t xml:space="preserve">CIO / budget</w:t>
      </w:r>
      <w:r>
        <w:t xml:space="preserve"> </w:t>
      </w:r>
      <w:r>
        <w:t xml:space="preserve">· By:</w:t>
      </w:r>
      <w:r>
        <w:t xml:space="preserve"> </w:t>
      </w:r>
      <w:r>
        <w:rPr>
          <w:b/>
          <w:bCs/>
        </w:rPr>
        <w:t xml:space="preserve">in time to</w:t>
      </w:r>
      <w:r>
        <w:rPr>
          <w:b/>
          <w:bCs/>
        </w:rPr>
        <w:t xml:space="preserve"> </w:t>
      </w:r>
      <w:r>
        <w:rPr>
          <w:b/>
          <w:bCs/>
        </w:rPr>
        <w:t xml:space="preserve">structure evidence for the Aug 31, 2026 window.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Direct the internal-rules → CR26 reconciliation and schedule the independent SCA.</w:t>
      </w:r>
      <w:r>
        <w:t xml:space="preserve"> </w:t>
      </w:r>
      <w:r>
        <w:t xml:space="preserve">27 of 46 CR26 indicators are not yet bound to a rule (attested at ScuBA</w:t>
      </w:r>
      <w:r>
        <w:t xml:space="preserve"> </w:t>
      </w:r>
      <w:r>
        <w:t xml:space="preserve">baseline only); the June 25, 2026 finalized-list blocker has cleared. Owner:</w:t>
      </w:r>
      <w:r>
        <w:t xml:space="preserve"> </w:t>
      </w:r>
      <w:r>
        <w:rPr>
          <w:b/>
          <w:bCs/>
        </w:rPr>
        <w:t xml:space="preserve">OIS ConMon lead</w:t>
      </w:r>
      <w:r>
        <w:t xml:space="preserve"> </w:t>
      </w:r>
      <w:r>
        <w:t xml:space="preserve">· By:</w:t>
      </w:r>
      <w:r>
        <w:t xml:space="preserve"> </w:t>
      </w:r>
      <w:r>
        <w:rPr>
          <w:b/>
          <w:bCs/>
        </w:rPr>
        <w:t xml:space="preserve">before independent SCA; no later than Aug 31, 2026.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Decide the Volume VIII multi-cloud breadth.</w:t>
      </w:r>
      <w:r>
        <w:t xml:space="preserve"> </w:t>
      </w:r>
      <w:r>
        <w:t xml:space="preserve">Vol VIII spans AWS/GCP/OCI/</w:t>
      </w:r>
      <w:r>
        <w:t xml:space="preserve"> </w:t>
      </w:r>
      <w:r>
        <w:t xml:space="preserve">VMware — the one deliberate exception to the GCC-Moderate/Microsoft scope.</w:t>
      </w:r>
      <w:r>
        <w:t xml:space="preserve"> </w:t>
      </w:r>
      <w:r>
        <w:t xml:space="preserve">Owner:</w:t>
      </w:r>
      <w:r>
        <w:t xml:space="preserve"> </w:t>
      </w:r>
      <w:r>
        <w:rPr>
          <w:b/>
          <w:bCs/>
        </w:rPr>
        <w:t xml:space="preserve">CIO</w:t>
      </w:r>
      <w:r>
        <w:t xml:space="preserve"> </w:t>
      </w:r>
      <w:r>
        <w:t xml:space="preserve">· By:</w:t>
      </w:r>
      <w:r>
        <w:t xml:space="preserve"> </w:t>
      </w:r>
      <w:r>
        <w:rPr>
          <w:b/>
          <w:bCs/>
        </w:rPr>
        <w:t xml:space="preserve">before committing Vol VIII beyond Azure.</w:t>
      </w:r>
    </w:p>
    <w:bookmarkEnd w:id="11"/>
    <w:bookmarkStart w:id="12" w:name="cost-of-inaction"/>
    <w:p>
      <w:pPr>
        <w:pStyle w:val="Heading2"/>
      </w:pPr>
      <w:r>
        <w:t xml:space="preserve">Cost of inaction</w:t>
      </w:r>
    </w:p>
    <w:p>
      <w:pPr>
        <w:pStyle w:val="FirstParagraph"/>
      </w:pPr>
      <w:r>
        <w:t xml:space="preserve">If the substrate is not in place before the Aug 31, 2026 window and the Jan 1,</w:t>
      </w:r>
      <w:r>
        <w:t xml:space="preserve"> </w:t>
      </w:r>
      <w:r>
        <w:t xml:space="preserve">2027 CR26 mandate: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Inherited authorizations stop reconciling.</w:t>
      </w:r>
      <w:r>
        <w:t xml:space="preserve"> </w:t>
      </w:r>
      <w:r>
        <w:t xml:space="preserve">Without the naming/identity/</w:t>
      </w:r>
      <w:r>
        <w:t xml:space="preserve"> </w:t>
      </w:r>
      <w:r>
        <w:t xml:space="preserve">evidence planes, the agency cannot assemble a continuous, machine-readable KSI</w:t>
      </w:r>
      <w:r>
        <w:t xml:space="preserve"> </w:t>
      </w:r>
      <w:r>
        <w:t xml:space="preserve">package, and inherited-service evidence cannot be joined into one picture.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same findings recur every assessment cycle.</w:t>
      </w:r>
      <w:r>
        <w:t xml:space="preserve"> </w:t>
      </w:r>
      <w:r>
        <w:t xml:space="preserve">Open CM-8 (component</w:t>
      </w:r>
      <w:r>
        <w:t xml:space="preserve"> </w:t>
      </w:r>
      <w:r>
        <w:t xml:space="preserve">inventory), SC-20/SC-21 (DNSSEC), and SC-8 (transport encryption) findings</w:t>
      </w:r>
      <w:r>
        <w:t xml:space="preserve"> </w:t>
      </w:r>
      <w:r>
        <w:t xml:space="preserve">become standing POA&amp;M items that manual evidence assembly cannot clear under</w:t>
      </w:r>
      <w:r>
        <w:t xml:space="preserve"> </w:t>
      </w:r>
      <w:r>
        <w:t xml:space="preserve">20x.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Spend does not fix it.</w:t>
      </w:r>
      <w:r>
        <w:t xml:space="preserve"> </w:t>
      </w:r>
      <w:r>
        <w:t xml:space="preserve">The perimeter architecture cannot satisfy the Zero</w:t>
      </w:r>
      <w:r>
        <w:t xml:space="preserve"> </w:t>
      </w:r>
      <w:r>
        <w:t xml:space="preserve">Trust controls regardless of tooling budget — the mismatch is structural, so</w:t>
      </w:r>
      <w:r>
        <w:t xml:space="preserve"> </w:t>
      </w:r>
      <w:r>
        <w:t xml:space="preserve">money spent without the pattern change buys tools that measure a gap they</w:t>
      </w:r>
      <w:r>
        <w:t xml:space="preserve"> </w:t>
      </w:r>
      <w:r>
        <w:t xml:space="preserve">cannot close.</w:t>
      </w:r>
    </w:p>
    <w:bookmarkEnd w:id="12"/>
    <w:bookmarkStart w:id="13" w:name="reading-paths-by-role"/>
    <w:p>
      <w:pPr>
        <w:pStyle w:val="Heading2"/>
      </w:pPr>
      <w:r>
        <w:t xml:space="preserve">Reading paths by role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Authorizing Official / budget:</w:t>
      </w:r>
      <w:r>
        <w:t xml:space="preserve"> </w:t>
      </w:r>
      <w:r>
        <w:t xml:space="preserve">this brief, then the</w:t>
      </w:r>
      <w:r>
        <w:t xml:space="preserve"> </w:t>
      </w:r>
      <w:r>
        <w:rPr>
          <w:i/>
          <w:iCs/>
        </w:rPr>
        <w:t xml:space="preserve">Product Inventory</w:t>
      </w:r>
      <w:r>
        <w:rPr>
          <w:i/>
          <w:iCs/>
        </w:rPr>
        <w:t xml:space="preserve"> </w:t>
      </w:r>
      <w:r>
        <w:rPr>
          <w:i/>
          <w:iCs/>
        </w:rPr>
        <w:t xml:space="preserve">Questionnaire</w:t>
      </w:r>
      <w:r>
        <w:t xml:space="preserve"> </w:t>
      </w:r>
      <w:r>
        <w:t xml:space="preserve">(Vol 0 Book 01) for product/authorization status, and the</w:t>
      </w:r>
      <w:r>
        <w:t xml:space="preserve"> </w:t>
      </w:r>
      <w:r>
        <w:rPr>
          <w:i/>
          <w:iCs/>
        </w:rPr>
        <w:t xml:space="preserve">Residual Compliance Risk</w:t>
      </w:r>
      <w:r>
        <w:t xml:space="preserve"> </w:t>
      </w:r>
      <w:r>
        <w:t xml:space="preserve">section of Book 00 for the finding-level exposure.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ISSO / assessor: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Series Control Crosswalk</w:t>
      </w:r>
      <w:r>
        <w:t xml:space="preserve"> </w:t>
      </w:r>
      <w:r>
        <w:t xml:space="preserve">(Vol 0 Book 02) and the</w:t>
      </w:r>
      <w:r>
        <w:t xml:space="preserve"> </w:t>
      </w:r>
      <w:r>
        <w:t xml:space="preserve">generated</w:t>
      </w:r>
      <w:r>
        <w:t xml:space="preserve"> </w:t>
      </w:r>
      <w:r>
        <w:rPr>
          <w:i/>
          <w:iCs/>
        </w:rPr>
        <w:t xml:space="preserve">Claim → Evidence → Test Matrix</w:t>
      </w:r>
      <w:r>
        <w:t xml:space="preserve"> </w:t>
      </w:r>
      <w:r>
        <w:t xml:space="preserve">for what is proven vs asserted, then</w:t>
      </w:r>
      <w:r>
        <w:t xml:space="preserve"> </w:t>
      </w:r>
      <w:r>
        <w:t xml:space="preserve">Vol IV Book 06 (Authorization Package &amp; ConMon).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Engineer:</w:t>
      </w:r>
      <w:r>
        <w:t xml:space="preserve"> </w:t>
      </w:r>
      <w:r>
        <w:t xml:space="preserve">the volume overview books (</w:t>
      </w:r>
      <w:r>
        <w:rPr>
          <w:rStyle w:val="VerbatimChar"/>
        </w:rPr>
        <w:t xml:space="preserve">Vol_*_Book_00</w:t>
      </w:r>
      <w:r>
        <w:t xml:space="preserve">), then Volume VI</w:t>
      </w:r>
      <w:r>
        <w:t xml:space="preserve"> </w:t>
      </w:r>
      <w:r>
        <w:t xml:space="preserve">(deploy-as-code) and the Volume VIII/IX kits shipped as source in the</w:t>
      </w:r>
      <w:r>
        <w:t xml:space="preserve"> </w:t>
      </w:r>
      <w:r>
        <w:t xml:space="preserve">distribution kit.</w:t>
      </w:r>
    </w:p>
    <w:bookmarkEnd w:id="13"/>
    <w:bookmarkStart w:id="14" w:name="honest-status-line"/>
    <w:p>
      <w:pPr>
        <w:pStyle w:val="Heading2"/>
      </w:pPr>
      <w:r>
        <w:t xml:space="preserve">Honest status line</w:t>
      </w:r>
    </w:p>
    <w:p>
      <w:pPr>
        <w:pStyle w:val="FirstParagraph"/>
      </w:pPr>
      <w:r>
        <w:t xml:space="preserve">Self-assessed against the series’ internal KSI decomposition;</w:t>
      </w:r>
      <w:r>
        <w:t xml:space="preserve"> </w:t>
      </w:r>
      <w:r>
        <w:rPr>
          <w:b/>
          <w:bCs/>
        </w:rPr>
        <w:t xml:space="preserve">CR26 indicator coverage is</w:t>
      </w:r>
      <w:r>
        <w:rPr>
          <w:b/>
          <w:bCs/>
        </w:rPr>
        <w:t xml:space="preserve"> </w:t>
      </w:r>
      <w:r>
        <w:rPr>
          <w:b/>
          <w:bCs/>
        </w:rPr>
        <w:t xml:space="preserve">19/46</w:t>
      </w:r>
      <w:r>
        <w:t xml:space="preserve"> </w:t>
      </w:r>
      <w:r>
        <w:t xml:space="preserve">(see the CR26 Reconciliation), the spine’s generated-and-gated closures</w:t>
      </w:r>
      <w:r>
        <w:t xml:space="preserve"> </w:t>
      </w:r>
      <w:r>
        <w:t xml:space="preserve">cover</w:t>
      </w:r>
      <w:r>
        <w:t xml:space="preserve"> </w:t>
      </w:r>
      <w:r>
        <w:rPr>
          <w:b/>
          <w:bCs/>
        </w:rPr>
        <w:t xml:space="preserve">20 of 71 books</w:t>
      </w:r>
      <w:r>
        <w:t xml:space="preserve">, and the whole package is</w:t>
      </w:r>
      <w:r>
        <w:t xml:space="preserve"> </w:t>
      </w:r>
      <w:r>
        <w:rPr>
          <w:b/>
          <w:bCs/>
        </w:rPr>
        <w:t xml:space="preserve">pending independent SCA</w:t>
      </w:r>
      <w:r>
        <w:t xml:space="preserve">.</w:t>
      </w:r>
      <w:r>
        <w:t xml:space="preserve"> </w:t>
      </w:r>
      <w:r>
        <w:t xml:space="preserve">Nothing here is an authorization result. Full detail:</w:t>
      </w:r>
      <w:r>
        <w:t xml:space="preserve"> </w:t>
      </w:r>
      <w:r>
        <w:rPr>
          <w:b/>
          <w:bCs/>
        </w:rPr>
        <w:t xml:space="preserve">Vol 0 Book 00</w:t>
      </w:r>
      <w:r>
        <w:t xml:space="preserve"> </w:t>
      </w:r>
      <w:r>
        <w:t xml:space="preserve">(technical</w:t>
      </w:r>
      <w:r>
        <w:t xml:space="preserve"> </w:t>
      </w:r>
      <w:r>
        <w:t xml:space="preserve">compendium).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0 Book 00a — Federal Compliance — Executive Brief</dc:title>
  <dc:creator>Federal Cloud Services</dc:creator>
  <cp:keywords/>
  <dcterms:created xsi:type="dcterms:W3CDTF">2026-10-19T10:09:44Z</dcterms:created>
  <dcterms:modified xsi:type="dcterms:W3CDTF">2026-10-19T10:09:44Z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2026-07-20 00:10 ET</vt:lpwstr>
  </property>
  <property fmtid="{D5CDD505-2E9C-101B-9397-08002B2CF9AE}" pid="8" name="date-format">
    <vt:lpwstr>YYYY-MM-DD HH:mm [ET]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subtitle">
    <vt:lpwstr>Two-page decision brief for authorizing officials, program executives, and budget decision-makers</vt:lpwstr>
  </property>
  <property fmtid="{D5CDD505-2E9C-101B-9397-08002B2CF9AE}" pid="14" name="toc-title">
    <vt:lpwstr>Table of contents</vt:lpwstr>
  </property>
</Properties>
</file>