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Federal Compliance — Existing Product Inventory Questionnaire</w:t>
      </w:r>
    </w:p>
    <w:p>
      <w:pPr>
        <w:pStyle w:val="Subtitle"/>
      </w:pPr>
      <w:r>
        <w:t xml:space="preserve">Discovery Instrument: Map the Agency’s Deployed Tools onto the Compliance Compliance Architecture</w:t>
      </w:r>
    </w:p>
    <w:p>
      <w:pPr>
        <w:pStyle w:val="Author"/>
      </w:pPr>
      <w:r>
        <w:t xml:space="preserve">Federal Cloud Services</w:t>
      </w:r>
    </w:p>
    <w:p>
      <w:pPr>
        <w:pStyle w:val="Date"/>
      </w:pPr>
      <w:r>
        <w:t xml:space="preserve">2026-07-18 04:33 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9" w:name="draft-proposal-subject-to-review"/>
    <w:p>
      <w:pPr>
        <w:pStyle w:val="Heading2"/>
      </w:pPr>
      <w:r>
        <w:t xml:space="preserve">0.1 Draft Proposal — Subject to Review</w:t>
      </w:r>
    </w:p>
    <w:p>
      <w:pPr>
        <w:pStyle w:val="FirstParagraph"/>
      </w:pPr>
      <w:r>
        <w:t xml:space="preserve">This document is a</w:t>
      </w:r>
      <w:r>
        <w:t xml:space="preserve"> </w:t>
      </w:r>
      <w:r>
        <w:rPr>
          <w:b/>
          <w:bCs/>
        </w:rPr>
        <w:t xml:space="preserve">draft proposal</w:t>
      </w:r>
      <w:r>
        <w:t xml:space="preserve"> </w:t>
      </w:r>
      <w:r>
        <w:t xml:space="preserve">developed by the</w:t>
      </w:r>
      <w:r>
        <w:t xml:space="preserve"> </w:t>
      </w:r>
      <w:r>
        <w:rPr>
          <w:b/>
          <w:bCs/>
        </w:rPr>
        <w:t xml:space="preserve">CSI Team (Cloud Services Infrastructure)</w:t>
      </w:r>
      <w:r>
        <w:t xml:space="preserve">. It is a discovery instrument, not an authorization artifact or a procurement decision, and has not been reviewed or approved by the Agency CIO Office, the Office of Information Security (OIS), or organizational leadership.</w:t>
      </w:r>
    </w:p>
    <w:p>
      <w:pPr>
        <w:pStyle w:val="BodyText"/>
      </w:pPr>
      <w:r>
        <w:rPr>
          <w:b/>
          <w:bCs/>
        </w:rPr>
        <w:t xml:space="preserve">Date Code:</w:t>
      </w:r>
      <w:r>
        <w:t xml:space="preserve"> </w:t>
      </w:r>
      <w:r>
        <w:t xml:space="preserve">2026-07-18 00:33 ET</w:t>
      </w:r>
    </w:p>
    <w:bookmarkEnd w:id="9"/>
    <w:bookmarkStart w:id="10" w:name="purpose-and-how-to-use"/>
    <w:p>
      <w:pPr>
        <w:pStyle w:val="Heading1"/>
      </w:pPr>
      <w:r>
        <w:t xml:space="preserve">1. Purpose and How to Use</w:t>
      </w:r>
    </w:p>
    <w:p>
      <w:pPr>
        <w:pStyle w:val="FirstParagraph"/>
      </w:pPr>
      <w:r>
        <w:t xml:space="preserve">This questionnaire inventories the products an agency</w:t>
      </w:r>
      <w:r>
        <w:t xml:space="preserve"> </w:t>
      </w:r>
      <w:r>
        <w:rPr>
          <w:b/>
          <w:bCs/>
        </w:rPr>
        <w:t xml:space="preserve">already operates</w:t>
      </w:r>
      <w:r>
        <w:t xml:space="preserve"> </w:t>
      </w:r>
      <w:r>
        <w:t xml:space="preserve">and</w:t>
      </w:r>
      <w:r>
        <w:t xml:space="preserve"> </w:t>
      </w:r>
      <w:r>
        <w:t xml:space="preserve">maps each onto the Federal Compliance</w:t>
      </w:r>
      <w:r>
        <w:t xml:space="preserve"> </w:t>
      </w:r>
      <w:r>
        <w:t xml:space="preserve">architecture — the functional planes, the control-closure books, and the</w:t>
      </w:r>
      <w:r>
        <w:t xml:space="preserve"> </w:t>
      </w:r>
      <w:r>
        <w:t xml:space="preserve">Management-Plane Coordination Doctrine. It exists because the Compliance plan is being</w:t>
      </w:r>
      <w:r>
        <w:t xml:space="preserve"> </w:t>
      </w:r>
      <w:r>
        <w:t xml:space="preserve">executed without full visibility into the agency’s deployed tooling: you cannot</w:t>
      </w:r>
      <w:r>
        <w:t xml:space="preserve"> </w:t>
      </w:r>
      <w:r>
        <w:t xml:space="preserve">select a coordination stack, or claim an inherited control, without first</w:t>
      </w:r>
      <w:r>
        <w:t xml:space="preserve"> </w:t>
      </w:r>
      <w:r>
        <w:t xml:space="preserve">knowing what is already in place and how it is authorized.</w:t>
      </w:r>
    </w:p>
    <w:p>
      <w:pPr>
        <w:pStyle w:val="BodyText"/>
      </w:pPr>
      <w:r>
        <w:rPr>
          <w:b/>
          <w:bCs/>
        </w:rPr>
        <w:t xml:space="preserve">Two editions of this instrument render from one source: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Federal edition (the default)</w:t>
      </w:r>
      <w:r>
        <w:t xml:space="preserve"> </w:t>
      </w:r>
      <w:r>
        <w:t xml:space="preserve">— the discovery tables (§4) with the pre-filled</w:t>
      </w:r>
      <w:r>
        <w:t xml:space="preserve"> </w:t>
      </w:r>
      <w:r>
        <w:t xml:space="preserve">inventory (§3) omitted, and the scope rule stated generally: name the boundary</w:t>
      </w:r>
      <w:r>
        <w:t xml:space="preserve"> </w:t>
      </w:r>
      <w:r>
        <w:t xml:space="preserve">level the agency is authorized at, then require every dependency at or above it.</w:t>
      </w:r>
      <w:r>
        <w:t xml:space="preserve"> </w:t>
      </w:r>
      <w:r>
        <w:t xml:space="preserve">This is the edition that publishes.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Agency edition</w:t>
      </w:r>
      <w:r>
        <w:t xml:space="preserve"> </w:t>
      </w:r>
      <w:r>
        <w:t xml:space="preserve">— the same tables, plus the pre-filled block of known Agency tools</w:t>
      </w:r>
      <w:r>
        <w:t xml:space="preserve"> </w:t>
      </w:r>
      <w:r>
        <w:t xml:space="preserve">(§3) and a</w:t>
      </w:r>
      <w:r>
        <w:t xml:space="preserve"> </w:t>
      </w:r>
      <w:r>
        <w:rPr>
          <w:b/>
          <w:bCs/>
        </w:rPr>
        <w:t xml:space="preserve">hard scope rule (§2)</w:t>
      </w:r>
      <w:r>
        <w:t xml:space="preserve"> </w:t>
      </w:r>
      <w:r>
        <w:t xml:space="preserve">fixing every dependency at</w:t>
      </w:r>
      <w:r>
        <w:t xml:space="preserve"> </w:t>
      </w:r>
      <w:r>
        <w:rPr>
          <w:b/>
          <w:bCs/>
        </w:rPr>
        <w:t xml:space="preserve">FedRAMP</w:t>
      </w:r>
      <w:r>
        <w:rPr>
          <w:b/>
          <w:bCs/>
        </w:rPr>
        <w:t xml:space="preserve"> </w:t>
      </w:r>
      <w:r>
        <w:rPr>
          <w:b/>
          <w:bCs/>
        </w:rPr>
        <w:t xml:space="preserve">Moderate</w:t>
      </w:r>
      <w:r>
        <w:t xml:space="preserve">. Its agency facts live in a segregated edition file that is not</w:t>
      </w:r>
      <w:r>
        <w:t xml:space="preserve"> </w:t>
      </w:r>
      <w:r>
        <w:t xml:space="preserve">published.</w:t>
      </w:r>
    </w:p>
    <w:p>
      <w:pPr>
        <w:pStyle w:val="FirstParagraph"/>
      </w:pPr>
      <w:r>
        <w:t xml:space="preserve">The two names are literal here on purpose. This passage is</w:t>
      </w:r>
      <w:r>
        <w:t xml:space="preserve"> </w:t>
      </w:r>
      <w:r>
        <w:rPr>
          <w:i/>
          <w:iCs/>
        </w:rPr>
        <w:t xml:space="preserve">about</w:t>
      </w:r>
      <w:r>
        <w:t xml:space="preserve"> </w:t>
      </w:r>
      <w:r>
        <w:t xml:space="preserve">the split, so</w:t>
      </w:r>
      <w:r>
        <w:t xml:space="preserve"> </w:t>
      </w:r>
      <w:r>
        <w:t xml:space="preserve">substituting the agency variable into it would make it circular —</w:t>
      </w:r>
      <w:r>
        <w:t xml:space="preserve"> </w:t>
      </w:r>
      <w:r>
        <w:t xml:space="preserve">“Agency edition”</w:t>
      </w:r>
      <w:r>
        <w:t xml:space="preserve"> </w:t>
      </w:r>
      <w:r>
        <w:t xml:space="preserve">and</w:t>
      </w:r>
      <w:r>
        <w:t xml:space="preserve"> </w:t>
      </w:r>
      <w:r>
        <w:t xml:space="preserve">“Federal edition”</w:t>
      </w:r>
      <w:r>
        <w:t xml:space="preserve"> </w:t>
      </w:r>
      <w:r>
        <w:t xml:space="preserve">would read as two different things.</w:t>
      </w:r>
    </w:p>
    <w:p>
      <w:pPr>
        <w:pStyle w:val="BodyText"/>
      </w:pPr>
      <w:r>
        <w:rPr>
          <w:b/>
          <w:bCs/>
        </w:rPr>
        <w:t xml:space="preserve">How to complete it:</w:t>
      </w:r>
      <w:r>
        <w:t xml:space="preserve"> </w:t>
      </w:r>
      <w:r>
        <w:t xml:space="preserve">for each category in §4, fill the four working columns —</w:t>
      </w:r>
      <w:r>
        <w:t xml:space="preserve"> </w:t>
      </w:r>
      <w:r>
        <w:rPr>
          <w:i/>
          <w:iCs/>
        </w:rPr>
        <w:t xml:space="preserve">In use?</w:t>
      </w:r>
      <w:r>
        <w:t xml:space="preserve">,</w:t>
      </w:r>
      <w:r>
        <w:t xml:space="preserve"> </w:t>
      </w:r>
      <w:r>
        <w:rPr>
          <w:i/>
          <w:iCs/>
        </w:rPr>
        <w:t xml:space="preserve">Product &amp; offering</w:t>
      </w:r>
      <w:r>
        <w:t xml:space="preserve">,</w:t>
      </w:r>
      <w:r>
        <w:t xml:space="preserve"> </w:t>
      </w:r>
      <w:r>
        <w:rPr>
          <w:i/>
          <w:iCs/>
        </w:rPr>
        <w:t xml:space="preserve">FedRAMP status</w:t>
      </w:r>
      <w:r>
        <w:t xml:space="preserve">,</w:t>
      </w:r>
      <w:r>
        <w:t xml:space="preserve"> </w:t>
      </w:r>
      <w:r>
        <w:rPr>
          <w:i/>
          <w:iCs/>
        </w:rPr>
        <w:t xml:space="preserve">Deployment surface</w:t>
      </w:r>
      <w:r>
        <w:t xml:space="preserve">. The</w:t>
      </w:r>
      <w:r>
        <w:t xml:space="preserve"> </w:t>
      </w:r>
      <w:r>
        <w:rPr>
          <w:i/>
          <w:iCs/>
        </w:rPr>
        <w:t xml:space="preserve">Maps to</w:t>
      </w:r>
      <w:r>
        <w:t xml:space="preserve"> </w:t>
      </w:r>
      <w:r>
        <w:t xml:space="preserve">column is pre-filled; it tells you which Compliance book and functional plane</w:t>
      </w:r>
      <w:r>
        <w:t xml:space="preserve"> </w:t>
      </w:r>
      <w:r>
        <w:t xml:space="preserve">the answer feeds. Anything that fails the §2 rule goes on the §5 flag list.</w:t>
      </w:r>
    </w:p>
    <w:bookmarkEnd w:id="10"/>
    <w:bookmarkStart w:id="12" w:name="scope-rule"/>
    <w:p>
      <w:pPr>
        <w:pStyle w:val="Heading1"/>
      </w:pPr>
      <w:r>
        <w:t xml:space="preserve">2. The Scope Rule — Agency Edition Is Exclusively FedRAMP Moderate</w:t>
      </w:r>
    </w:p>
    <w:p>
      <w:pPr>
        <w:pStyle w:val="FirstParagraph"/>
      </w:pPr>
      <w:r>
        <w:t xml:space="preserve">Every product the Agency edition documents as an in-boundary dependency must be</w:t>
      </w:r>
      <w:r>
        <w:t xml:space="preserve"> </w:t>
      </w:r>
      <w:r>
        <w:rPr>
          <w:b/>
          <w:bCs/>
        </w:rPr>
        <w:t xml:space="preserve">FedRAMP Certified at Class C (Moderate)</w:t>
      </w:r>
      <w:r>
        <w:t xml:space="preserve">. Apply the following dispositions: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Situation</w:t>
            </w:r>
          </w:p>
        </w:tc>
        <w:tc>
          <w:tcPr/>
          <w:p>
            <w:pPr>
              <w:pStyle w:val="Compact"/>
            </w:pPr>
            <w:r>
              <w:t xml:space="preserve">Disposition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 has a</w:t>
            </w:r>
            <w:r>
              <w:t xml:space="preserve"> </w:t>
            </w:r>
            <w:r>
              <w:rPr>
                <w:b/>
                <w:bCs/>
              </w:rPr>
              <w:t xml:space="preserve">Class C (Moderate)</w:t>
            </w:r>
            <w:r>
              <w:t xml:space="preserve"> </w:t>
            </w:r>
            <w:r>
              <w:t xml:space="preserve">authorization</w:t>
            </w:r>
          </w:p>
        </w:tc>
        <w:tc>
          <w:tcPr/>
          <w:p>
            <w:pPr>
              <w:pStyle w:val="Compact"/>
            </w:pPr>
            <w:r>
              <w:t xml:space="preserve">✅ In scope — record the CSO / Marketplace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 is authorized</w:t>
            </w:r>
            <w:r>
              <w:t xml:space="preserve"> </w:t>
            </w:r>
            <w:r>
              <w:rPr>
                <w:b/>
                <w:bCs/>
              </w:rPr>
              <w:t xml:space="preserve">Class D (High) only</w:t>
            </w:r>
            <w:r>
              <w:t xml:space="preserve">, no Moderate offering</w:t>
            </w:r>
          </w:p>
        </w:tc>
        <w:tc>
          <w:tcPr/>
          <w:p>
            <w:pPr>
              <w:pStyle w:val="Compact"/>
            </w:pPr>
            <w:r>
              <w:t xml:space="preserve">⚠️</w:t>
            </w:r>
            <w:r>
              <w:t xml:space="preserve"> </w:t>
            </w:r>
            <w:r>
              <w:rPr>
                <w:b/>
                <w:bCs/>
              </w:rPr>
              <w:t xml:space="preserve">Flag</w:t>
            </w:r>
            <w:r>
              <w:t xml:space="preserve"> </w:t>
            </w:r>
            <w:r>
              <w:t xml:space="preserve">— High exceeds Moderate technically, but the Agency target is Moderate; confirm boundary treatment or seek a Moderate-authorized alternative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 is</w:t>
            </w:r>
            <w:r>
              <w:t xml:space="preserve"> </w:t>
            </w:r>
            <w:r>
              <w:rPr>
                <w:b/>
                <w:bCs/>
              </w:rPr>
              <w:t xml:space="preserve">on-premises gear</w:t>
            </w:r>
            <w:r>
              <w:t xml:space="preserve"> </w:t>
            </w:r>
            <w:r>
              <w:t xml:space="preserve">(appliance/firmware), not a CSP service</w:t>
            </w:r>
          </w:p>
        </w:tc>
        <w:tc>
          <w:tcPr/>
          <w:p>
            <w:pPr>
              <w:pStyle w:val="Compact"/>
            </w:pPr>
            <w:r>
              <w:t xml:space="preserve">↪️ Not a FedRAMP item — accredit via</w:t>
            </w:r>
            <w:r>
              <w:t xml:space="preserve"> </w:t>
            </w:r>
            <w:r>
              <w:rPr>
                <w:b/>
                <w:bCs/>
              </w:rPr>
              <w:t xml:space="preserve">NIAP CC + DISA STIG + FIPS 140-3 + DoDIN APL</w:t>
            </w:r>
            <w:r>
              <w:t xml:space="preserve"> </w:t>
            </w:r>
            <w:r>
              <w:t xml:space="preserve">(see the Network Enforcement Substrate book, Theme F)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Product is</w:t>
            </w:r>
            <w:r>
              <w:t xml:space="preserve"> </w:t>
            </w:r>
            <w:r>
              <w:rPr>
                <w:b/>
                <w:bCs/>
              </w:rPr>
              <w:t xml:space="preserve">not FedRAMP authorized</w:t>
            </w:r>
            <w:r>
              <w:t xml:space="preserve"> </w:t>
            </w:r>
            <w:r>
              <w:t xml:space="preserve">(commercial SaaS)</w:t>
            </w:r>
          </w:p>
        </w:tc>
        <w:tc>
          <w:tcPr/>
          <w:p>
            <w:pPr>
              <w:pStyle w:val="Compact"/>
            </w:pPr>
            <w:r>
              <w:t xml:space="preserve">❌</w:t>
            </w:r>
            <w:r>
              <w:t xml:space="preserve"> </w:t>
            </w:r>
            <w:r>
              <w:rPr>
                <w:b/>
                <w:bCs/>
              </w:rPr>
              <w:t xml:space="preserve">Flag</w:t>
            </w:r>
            <w:r>
              <w:t xml:space="preserve"> </w:t>
            </w:r>
            <w:r>
              <w:t xml:space="preserve">— not eligible as an in-boundary Agency dependency; find a Government/GovCloud edition or replace</w:t>
            </w:r>
          </w:p>
        </w:tc>
      </w:tr>
    </w:tbl>
    <w:p>
      <w:pPr>
        <w:pStyle w:val="BodyText"/>
      </w:pPr>
      <w:r>
        <w:rPr>
          <w:b/>
          <w:bCs/>
        </w:rPr>
        <w:t xml:space="preserve">FedRAMP nomenclature (current).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“FedRAMP Certified”</w:t>
      </w:r>
      <w:r>
        <w:t xml:space="preserve"> </w:t>
      </w:r>
      <w:r>
        <w:t xml:space="preserve">nomenclature —</w:t>
      </w:r>
      <w:r>
        <w:t xml:space="preserve"> </w:t>
      </w:r>
      <w:r>
        <w:t xml:space="preserve">with impact classes</w:t>
      </w:r>
      <w:r>
        <w:t xml:space="preserve"> </w:t>
      </w:r>
      <w:r>
        <w:rPr>
          <w:b/>
          <w:bCs/>
        </w:rPr>
        <w:t xml:space="preserve">Class C = Moderate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Class D = High</w:t>
      </w:r>
      <w:r>
        <w:t xml:space="preserve"> </w:t>
      </w:r>
      <w:r>
        <w:t xml:space="preserve">— was</w:t>
      </w:r>
      <w:r>
        <w:t xml:space="preserve"> </w:t>
      </w:r>
      <w:r>
        <w:t xml:space="preserve">introduced in the May 4, 2026 CR26 public preview and launched with the</w:t>
      </w:r>
      <w:r>
        <w:t xml:space="preserve"> </w:t>
      </w:r>
      <w:r>
        <w:t xml:space="preserve">Consolidated Rules on June 25, 2026; it becomes mandatory January 1, 2027.</w:t>
      </w:r>
      <w:r>
        <w:t xml:space="preserve"> </w:t>
      </w:r>
      <w:r>
        <w:t xml:space="preserve">This document says</w:t>
      </w:r>
      <w:r>
        <w:t xml:space="preserve"> </w:t>
      </w:r>
      <w:r>
        <w:t xml:space="preserve">“Class C (Moderate)”</w:t>
      </w:r>
      <w:r>
        <w:t xml:space="preserve"> </w:t>
      </w:r>
      <w:r>
        <w:t xml:space="preserve">for the Agency requirement and flags</w:t>
      </w:r>
      <w:r>
        <w:t xml:space="preserve"> </w:t>
      </w:r>
      <w:r>
        <w:t xml:space="preserve">“Class</w:t>
      </w:r>
      <w:r>
        <w:t xml:space="preserve"> </w:t>
      </w:r>
      <w:r>
        <w:t xml:space="preserve">D (High)-only.”</w:t>
      </w:r>
      <w:r>
        <w:t xml:space="preserve"> </w:t>
      </w:r>
      <w:r>
        <w:t xml:space="preserve">Verify every status on the</w:t>
      </w:r>
      <w:r>
        <w:t xml:space="preserve"> </w:t>
      </w:r>
      <w:r>
        <w:rPr>
          <w:b/>
          <w:bCs/>
        </w:rPr>
        <w:t xml:space="preserve">FedRAMP Marketplace</w:t>
      </w:r>
      <w:r>
        <w:t xml:space="preserve"> </w:t>
      </w:r>
      <w:r>
        <w:t xml:space="preserve">at the time</w:t>
      </w:r>
      <w:r>
        <w:t xml:space="preserve"> </w:t>
      </w:r>
      <w:r>
        <w:t xml:space="preserve">of any authorization or procurement decision — authorizations change.</w:t>
      </w:r>
    </w:p>
    <w:bookmarkStart w:id="11" w:name="X9891969c06821a9e2e7e3f7468066b2ac623646"/>
    <w:p>
      <w:pPr>
        <w:pStyle w:val="Heading2"/>
      </w:pPr>
      <w:r>
        <w:t xml:space="preserve">2.1 Selection principle — Microsoft-suite preference is earned, not automatic</w:t>
      </w:r>
    </w:p>
    <w:p>
      <w:pPr>
        <w:pStyle w:val="FirstParagraph"/>
      </w:pPr>
      <w:r>
        <w:t xml:space="preserve">The agency holds a large Microsoft enterprise agreement, so a Microsoft product</w:t>
      </w:r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default candidate</w:t>
      </w:r>
      <w:r>
        <w:t xml:space="preserve"> </w:t>
      </w:r>
      <w:r>
        <w:t xml:space="preserve">for any role</w:t>
      </w:r>
      <w:r>
        <w:t xml:space="preserve"> </w:t>
      </w:r>
      <w:r>
        <w:rPr>
          <w:b/>
          <w:bCs/>
        </w:rPr>
        <w:t xml:space="preserve">when it genuinely coordinates the</w:t>
      </w:r>
      <w:r>
        <w:rPr>
          <w:b/>
          <w:bCs/>
        </w:rPr>
        <w:t xml:space="preserve"> </w:t>
      </w:r>
      <w:r>
        <w:rPr>
          <w:b/>
          <w:bCs/>
        </w:rPr>
        <w:t xml:space="preserve">multi-vendor surface (CSP + NEM + OS) at FedRAMP Moderate</w:t>
      </w:r>
      <w:r>
        <w:t xml:space="preserve"> </w:t>
      </w:r>
      <w:r>
        <w:t xml:space="preserve">— e.g., Sentinel</w:t>
      </w:r>
      <w:r>
        <w:t xml:space="preserve"> </w:t>
      </w:r>
      <w:r>
        <w:t xml:space="preserve">ingesting AWS/OCI/NEM telemetry, or Defender for Cloud as a multi-cloud CNAPP.</w:t>
      </w:r>
      <w:r>
        <w:t xml:space="preserve"> </w:t>
      </w:r>
      <w:r>
        <w:t xml:space="preserve">Preference is earned by demonstrated cross-vendor coordination,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by</w:t>
      </w:r>
      <w:r>
        <w:t xml:space="preserve"> </w:t>
      </w:r>
      <w:r>
        <w:t xml:space="preserve">ownership: where a Microsoft product coordinates only Microsoft surfaces or</w:t>
      </w:r>
      <w:r>
        <w:t xml:space="preserve"> </w:t>
      </w:r>
      <w:r>
        <w:t xml:space="preserve">cannot reach the surface (e.g., Azure Arc cannot patch ESXi), the best</w:t>
      </w:r>
      <w:r>
        <w:t xml:space="preserve"> </w:t>
      </w:r>
      <w:r>
        <w:t xml:space="preserve">cross-vendor coordinator at Moderate wins.</w:t>
      </w:r>
    </w:p>
    <w:bookmarkEnd w:id="11"/>
    <w:bookmarkEnd w:id="12"/>
    <w:bookmarkStart w:id="13" w:name="known-ssa"/>
    <w:p>
      <w:pPr>
        <w:pStyle w:val="Heading1"/>
      </w:pPr>
      <w:r>
        <w:t xml:space="preserve">3. Pre-Filled Inventory — Agency Edition Only</w:t>
      </w:r>
    </w:p>
    <w:p>
      <w:pPr>
        <w:pStyle w:val="FirstParagraph"/>
      </w:pPr>
      <w:r>
        <w:rPr>
          <w:i/>
          <w:iCs/>
        </w:rPr>
        <w:t xml:space="preserve">This instrument ships empty on purpose.</w:t>
      </w:r>
      <w:r>
        <w:t xml:space="preserve"> </w:t>
      </w:r>
      <w:r>
        <w:t xml:space="preserve">An agency edition may carry a pre-filled</w:t>
      </w:r>
      <w:r>
        <w:t xml:space="preserve"> </w:t>
      </w:r>
      <w:r>
        <w:t xml:space="preserve">block here: its confirmed tools, each with a verified FedRAMP status and a</w:t>
      </w:r>
      <w:r>
        <w:t xml:space="preserve"> </w:t>
      </w:r>
      <w:r>
        <w:t xml:space="preserve">disposition under §2. The federal edition does not, because a pre-filled inventory</w:t>
      </w:r>
      <w:r>
        <w:t xml:space="preserve"> </w:t>
      </w:r>
      <w:r>
        <w:t xml:space="preserve">answers §4 before the reader starts — and the reader’s own estate is the point.</w:t>
      </w:r>
    </w:p>
    <w:p>
      <w:pPr>
        <w:pStyle w:val="BodyText"/>
      </w:pPr>
      <w:r>
        <w:t xml:space="preserve">To build one: complete §4 against your estate, verify each product’s FedRAMP status</w:t>
      </w:r>
      <w:r>
        <w:t xml:space="preserve"> </w:t>
      </w:r>
      <w:r>
        <w:t xml:space="preserve">on the Marketplace, then record the disposition §2 forces for anything below your</w:t>
      </w:r>
      <w:r>
        <w:t xml:space="preserve"> </w:t>
      </w:r>
      <w:r>
        <w:t xml:space="preserve">boundary level. That filled block is agency-specific and belongs with your edition,</w:t>
      </w:r>
      <w:r>
        <w:t xml:space="preserve"> </w:t>
      </w:r>
      <w:r>
        <w:t xml:space="preserve">not in the published instrument.</w:t>
      </w:r>
    </w:p>
    <w:bookmarkEnd w:id="13"/>
    <w:bookmarkStart w:id="21" w:name="discovery"/>
    <w:p>
      <w:pPr>
        <w:pStyle w:val="Heading1"/>
      </w:pPr>
      <w:r>
        <w:t xml:space="preserve">4. The Discovery Questionnaire</w:t>
      </w:r>
    </w:p>
    <w:p>
      <w:pPr>
        <w:pStyle w:val="FirstParagraph"/>
      </w:pPr>
      <w:r>
        <w:t xml:space="preserve">For each category: mark</w:t>
      </w:r>
      <w:r>
        <w:t xml:space="preserve"> </w:t>
      </w:r>
      <w:r>
        <w:rPr>
          <w:i/>
          <w:iCs/>
        </w:rPr>
        <w:t xml:space="preserve">In use?</w:t>
      </w:r>
      <w:r>
        <w:t xml:space="preserve">, name the</w:t>
      </w:r>
      <w:r>
        <w:t xml:space="preserve"> </w:t>
      </w:r>
      <w:r>
        <w:rPr>
          <w:i/>
          <w:iCs/>
        </w:rPr>
        <w:t xml:space="preserve">Product &amp; offering</w:t>
      </w:r>
      <w:r>
        <w:t xml:space="preserve">, record</w:t>
      </w:r>
      <w:r>
        <w:t xml:space="preserve"> </w:t>
      </w:r>
      <w:r>
        <w:rPr>
          <w:i/>
          <w:iCs/>
        </w:rPr>
        <w:t xml:space="preserve">FedRAMP status</w:t>
      </w:r>
      <w:r>
        <w:t xml:space="preserve"> </w:t>
      </w:r>
      <w:r>
        <w:t xml:space="preserve">(Class C required for Agency per §2), and the</w:t>
      </w:r>
      <w:r>
        <w:t xml:space="preserve"> </w:t>
      </w:r>
      <w:r>
        <w:rPr>
          <w:i/>
          <w:iCs/>
        </w:rPr>
        <w:t xml:space="preserve">Deployment surface</w:t>
      </w:r>
      <w:r>
        <w:t xml:space="preserve"> </w:t>
      </w:r>
      <w:r>
        <w:t xml:space="preserve">(CSP / NEM / OS / cross). The</w:t>
      </w:r>
      <w:r>
        <w:t xml:space="preserve"> </w:t>
      </w:r>
      <w:r>
        <w:rPr>
          <w:i/>
          <w:iCs/>
        </w:rPr>
        <w:t xml:space="preserve">Maps to</w:t>
      </w:r>
      <w:r>
        <w:t xml:space="preserve"> </w:t>
      </w:r>
      <w:r>
        <w:t xml:space="preserve">column is pre-filled.</w:t>
      </w:r>
    </w:p>
    <w:bookmarkStart w:id="14" w:name="volume-i-foundation-transport"/>
    <w:p>
      <w:pPr>
        <w:pStyle w:val="Heading2"/>
      </w:pPr>
      <w:r>
        <w:t xml:space="preserve">4.1 Volume I — Foundation &amp; Transport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Example products</w:t>
            </w:r>
          </w:p>
        </w:tc>
        <w:tc>
          <w:tcPr/>
          <w:p>
            <w:pPr>
              <w:pStyle w:val="Compact"/>
            </w:pPr>
            <w:r>
              <w:t xml:space="preserve">In use?</w:t>
            </w:r>
          </w:p>
        </w:tc>
        <w:tc>
          <w:tcPr/>
          <w:p>
            <w:pPr>
              <w:pStyle w:val="Compact"/>
            </w:pPr>
            <w:r>
              <w:t xml:space="preserve">Product &amp; offering</w:t>
            </w:r>
          </w:p>
        </w:tc>
        <w:tc>
          <w:tcPr/>
          <w:p>
            <w:pPr>
              <w:pStyle w:val="Compact"/>
            </w:pPr>
            <w:r>
              <w:t xml:space="preserve">FedRAMP status</w:t>
            </w:r>
          </w:p>
        </w:tc>
        <w:tc>
          <w:tcPr/>
          <w:p>
            <w:pPr>
              <w:pStyle w:val="Compact"/>
            </w:pPr>
            <w:r>
              <w:t xml:space="preserve">Surface</w:t>
            </w:r>
          </w:p>
        </w:tc>
        <w:tc>
          <w:tcPr/>
          <w:p>
            <w:pPr>
              <w:pStyle w:val="Compact"/>
            </w:pPr>
            <w:r>
              <w:t xml:space="preserve">Maps 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Cloud platforms (CSP)</w:t>
            </w:r>
          </w:p>
        </w:tc>
        <w:tc>
          <w:tcPr/>
          <w:p>
            <w:pPr>
              <w:pStyle w:val="Compact"/>
            </w:pPr>
            <w:r>
              <w:t xml:space="preserve">Azure/M365 GCC, AWS GovCloud, OCI, GCP, VMware Cloud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Landing Zone · all planes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Naming &amp; addressing (DDI/IPAM)</w:t>
            </w:r>
          </w:p>
        </w:tc>
        <w:tc>
          <w:tcPr/>
          <w:p>
            <w:pPr>
              <w:pStyle w:val="Compact"/>
            </w:pPr>
            <w:r>
              <w:t xml:space="preserve">InfoBlox, BlueCat, NetBox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Landing Zone · plane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Certificates / PKI</w:t>
            </w:r>
          </w:p>
        </w:tc>
        <w:tc>
          <w:tcPr/>
          <w:p>
            <w:pPr>
              <w:pStyle w:val="Compact"/>
            </w:pPr>
            <w:r>
              <w:t xml:space="preserve">ADCS, Entrust, DigiCert, Venafi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Certs &amp; Tokens · plane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HR system of record</w:t>
            </w:r>
          </w:p>
        </w:tc>
        <w:tc>
          <w:tcPr/>
          <w:p>
            <w:pPr>
              <w:pStyle w:val="Compact"/>
            </w:pPr>
            <w:r>
              <w:t xml:space="preserve">Oracle HCM, Workday, SAP SuccessFactors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HRIT · plane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Directory &amp; IdP</w:t>
            </w:r>
          </w:p>
        </w:tc>
        <w:tc>
          <w:tcPr/>
          <w:p>
            <w:pPr>
              <w:pStyle w:val="Compact"/>
            </w:pPr>
            <w:r>
              <w:t xml:space="preserve">Entra ID, Okta, Ping, on-prem 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Network Modernization · plane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 equipment (NEM)</w:t>
            </w:r>
          </w:p>
        </w:tc>
        <w:tc>
          <w:tcPr/>
          <w:p>
            <w:pPr>
              <w:pStyle w:val="Compact"/>
            </w:pPr>
            <w:r>
              <w:t xml:space="preserve">Cisco, Palo Alto, Juniper, Fortinet, Arista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NEM</w:t>
            </w:r>
          </w:p>
        </w:tc>
        <w:tc>
          <w:tcPr/>
          <w:p>
            <w:pPr>
              <w:pStyle w:val="Compact"/>
            </w:pPr>
            <w:r>
              <w:t xml:space="preserve">Network Enforcement Substrate · plane 1/4</w:t>
            </w:r>
          </w:p>
        </w:tc>
      </w:tr>
      <w:tr>
        <w:tc>
          <w:tcPr/>
          <w:p>
            <w:pPr>
              <w:pStyle w:val="Compact"/>
            </w:pPr>
            <w:r>
              <w:t xml:space="preserve">NAC</w:t>
            </w:r>
          </w:p>
        </w:tc>
        <w:tc>
          <w:tcPr/>
          <w:p>
            <w:pPr>
              <w:pStyle w:val="Compact"/>
            </w:pPr>
            <w:r>
              <w:t xml:space="preserve">Cisco ISE, Aruba ClearPass, Juniper Mist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NEM</w:t>
            </w:r>
          </w:p>
        </w:tc>
        <w:tc>
          <w:tcPr/>
          <w:p>
            <w:pPr>
              <w:pStyle w:val="Compact"/>
            </w:pPr>
            <w:r>
              <w:t xml:space="preserve">NAC / Network Enforcement · plane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SD-WAN / SASE</w:t>
            </w:r>
          </w:p>
        </w:tc>
        <w:tc>
          <w:tcPr/>
          <w:p>
            <w:pPr>
              <w:pStyle w:val="Compact"/>
            </w:pPr>
            <w:r>
              <w:t xml:space="preserve">Catalyst SD-WAN, Prisma SASE, Zscaler, Netskope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cross</w:t>
            </w:r>
          </w:p>
        </w:tc>
        <w:tc>
          <w:tcPr/>
          <w:p>
            <w:pPr>
              <w:pStyle w:val="Compact"/>
            </w:pPr>
            <w:r>
              <w:t xml:space="preserve">Network Mod / Telecom · plane 1/4</w:t>
            </w:r>
          </w:p>
        </w:tc>
      </w:tr>
      <w:tr>
        <w:tc>
          <w:tcPr/>
          <w:p>
            <w:pPr>
              <w:pStyle w:val="Compact"/>
            </w:pPr>
            <w:r>
              <w:t xml:space="preserve">Network performance / observability / WAN-opt</w:t>
            </w:r>
          </w:p>
        </w:tc>
        <w:tc>
          <w:tcPr/>
          <w:p>
            <w:pPr>
              <w:pStyle w:val="Compact"/>
            </w:pPr>
            <w:r>
              <w:t xml:space="preserve">Riverbed, ThousandEyes, Kentik, SolarWinds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cross</w:t>
            </w:r>
          </w:p>
        </w:tc>
        <w:tc>
          <w:tcPr/>
          <w:p>
            <w:pPr>
              <w:pStyle w:val="Compact"/>
            </w:pPr>
            <w:r>
              <w:t xml:space="preserve">Transport telemetry (SI-4/CA-7) · plane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Contact center / UC</w:t>
            </w:r>
          </w:p>
        </w:tc>
        <w:tc>
          <w:tcPr/>
          <w:p>
            <w:pPr>
              <w:pStyle w:val="Compact"/>
            </w:pPr>
            <w:r>
              <w:t xml:space="preserve">Amazon Connect, Teams Phone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CSP</w:t>
            </w:r>
          </w:p>
        </w:tc>
        <w:tc>
          <w:tcPr/>
          <w:p>
            <w:pPr>
              <w:pStyle w:val="Compact"/>
            </w:pPr>
            <w:r>
              <w:t xml:space="preserve">Telecommunications · plane 5</w:t>
            </w:r>
          </w:p>
        </w:tc>
      </w:tr>
    </w:tbl>
    <w:bookmarkEnd w:id="14"/>
    <w:bookmarkStart w:id="15" w:name="volume-ii-data-platform"/>
    <w:p>
      <w:pPr>
        <w:pStyle w:val="Heading2"/>
      </w:pPr>
      <w:r>
        <w:t xml:space="preserve">4.2 Volume II — Data Platform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Example products</w:t>
            </w:r>
          </w:p>
        </w:tc>
        <w:tc>
          <w:tcPr/>
          <w:p>
            <w:pPr>
              <w:pStyle w:val="Compact"/>
            </w:pPr>
            <w:r>
              <w:t xml:space="preserve">In use?</w:t>
            </w:r>
          </w:p>
        </w:tc>
        <w:tc>
          <w:tcPr/>
          <w:p>
            <w:pPr>
              <w:pStyle w:val="Compact"/>
            </w:pPr>
            <w:r>
              <w:t xml:space="preserve">Product &amp; offering</w:t>
            </w:r>
          </w:p>
        </w:tc>
        <w:tc>
          <w:tcPr/>
          <w:p>
            <w:pPr>
              <w:pStyle w:val="Compact"/>
            </w:pPr>
            <w:r>
              <w:t xml:space="preserve">FedRAMP status</w:t>
            </w:r>
          </w:p>
        </w:tc>
        <w:tc>
          <w:tcPr/>
          <w:p>
            <w:pPr>
              <w:pStyle w:val="Compact"/>
            </w:pPr>
            <w:r>
              <w:t xml:space="preserve">Surface</w:t>
            </w:r>
          </w:p>
        </w:tc>
        <w:tc>
          <w:tcPr/>
          <w:p>
            <w:pPr>
              <w:pStyle w:val="Compact"/>
            </w:pPr>
            <w:r>
              <w:t xml:space="preserve">Maps 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Database platforms</w:t>
            </w:r>
          </w:p>
        </w:tc>
        <w:tc>
          <w:tcPr/>
          <w:p>
            <w:pPr>
              <w:pStyle w:val="Compact"/>
            </w:pPr>
            <w:r>
              <w:t xml:space="preserve">SQL Server, Oracle DB, PostgreSQL/RDS, Azure SQL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CSP/OS</w:t>
            </w:r>
          </w:p>
        </w:tc>
        <w:tc>
          <w:tcPr/>
          <w:p>
            <w:pPr>
              <w:pStyle w:val="Compact"/>
            </w:pPr>
            <w:r>
              <w:t xml:space="preserve">SQL &amp; DB books · plane 5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Database auth modernization</w:t>
            </w:r>
          </w:p>
        </w:tc>
        <w:tc>
          <w:tcPr/>
          <w:p>
            <w:pPr>
              <w:pStyle w:val="Compact"/>
            </w:pPr>
            <w:r>
              <w:t xml:space="preserve">Azure Arc + Entra for SQL, IAM DB auth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cross</w:t>
            </w:r>
          </w:p>
        </w:tc>
        <w:tc>
          <w:tcPr/>
          <w:p>
            <w:pPr>
              <w:pStyle w:val="Compact"/>
            </w:pPr>
            <w:r>
              <w:t xml:space="preserve">SQL Auth book · plane 3</w:t>
            </w:r>
          </w:p>
        </w:tc>
      </w:tr>
    </w:tbl>
    <w:bookmarkEnd w:id="15"/>
    <w:bookmarkStart w:id="16" w:name="volume-iii-security-operations"/>
    <w:p>
      <w:pPr>
        <w:pStyle w:val="Heading2"/>
      </w:pPr>
      <w:r>
        <w:t xml:space="preserve">4.3 Volume III — Security Operations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Example products</w:t>
            </w:r>
          </w:p>
        </w:tc>
        <w:tc>
          <w:tcPr/>
          <w:p>
            <w:pPr>
              <w:pStyle w:val="Compact"/>
            </w:pPr>
            <w:r>
              <w:t xml:space="preserve">In use?</w:t>
            </w:r>
          </w:p>
        </w:tc>
        <w:tc>
          <w:tcPr/>
          <w:p>
            <w:pPr>
              <w:pStyle w:val="Compact"/>
            </w:pPr>
            <w:r>
              <w:t xml:space="preserve">Product &amp; offering</w:t>
            </w:r>
          </w:p>
        </w:tc>
        <w:tc>
          <w:tcPr/>
          <w:p>
            <w:pPr>
              <w:pStyle w:val="Compact"/>
            </w:pPr>
            <w:r>
              <w:t xml:space="preserve">FedRAMP status</w:t>
            </w:r>
          </w:p>
        </w:tc>
        <w:tc>
          <w:tcPr/>
          <w:p>
            <w:pPr>
              <w:pStyle w:val="Compact"/>
            </w:pPr>
            <w:r>
              <w:t xml:space="preserve">Surface</w:t>
            </w:r>
          </w:p>
        </w:tc>
        <w:tc>
          <w:tcPr/>
          <w:p>
            <w:pPr>
              <w:pStyle w:val="Compact"/>
            </w:pPr>
            <w:r>
              <w:t xml:space="preserve">Maps 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Privileged access (PAM)</w:t>
            </w:r>
          </w:p>
        </w:tc>
        <w:tc>
          <w:tcPr/>
          <w:p>
            <w:pPr>
              <w:pStyle w:val="Compact"/>
            </w:pPr>
            <w:r>
              <w:t xml:space="preserve">Entra PIM, CyberArk, BeyondTrust, Delinea, SailPoint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cross</w:t>
            </w:r>
          </w:p>
        </w:tc>
        <w:tc>
          <w:tcPr/>
          <w:p>
            <w:pPr>
              <w:pStyle w:val="Compact"/>
            </w:pPr>
            <w:r>
              <w:t xml:space="preserve">PAM book · plane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Vulnerability assessment</w:t>
            </w:r>
          </w:p>
        </w:tc>
        <w:tc>
          <w:tcPr/>
          <w:p>
            <w:pPr>
              <w:pStyle w:val="Compact"/>
            </w:pPr>
            <w:r>
              <w:t xml:space="preserve">Defender VM, Tenable, Qualys, Rapid7, Amazon Inspector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cross</w:t>
            </w:r>
          </w:p>
        </w:tc>
        <w:tc>
          <w:tcPr/>
          <w:p>
            <w:pPr>
              <w:pStyle w:val="Compact"/>
            </w:pPr>
            <w:r>
              <w:t xml:space="preserve">Vulnerability Mgmt · plane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Patch / systems management</w:t>
            </w:r>
          </w:p>
        </w:tc>
        <w:tc>
          <w:tcPr/>
          <w:p>
            <w:pPr>
              <w:pStyle w:val="Compact"/>
            </w:pPr>
            <w:r>
              <w:t xml:space="preserve">Intune, SSM, Azure Update Mgr, OCI OS Mgmt Hub, vLCM, Workspace ONE, Satellite/Ansible, Tanium, BigFix, Ivanti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OS/cross</w:t>
            </w:r>
          </w:p>
        </w:tc>
        <w:tc>
          <w:tcPr/>
          <w:p>
            <w:pPr>
              <w:pStyle w:val="Compact"/>
            </w:pPr>
            <w:r>
              <w:t xml:space="preserve">Patch &amp; Systems Mgmt · plane 7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Cloud posture / CNAPP / CSPM</w:t>
            </w:r>
          </w:p>
        </w:tc>
        <w:tc>
          <w:tcPr/>
          <w:p>
            <w:pPr>
              <w:pStyle w:val="Compact"/>
            </w:pPr>
            <w:r>
              <w:t xml:space="preserve">Wiz, Prisma Cloud, Defender for Cloud, Orca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CSP</w:t>
            </w:r>
          </w:p>
        </w:tc>
        <w:tc>
          <w:tcPr/>
          <w:p>
            <w:pPr>
              <w:pStyle w:val="Compact"/>
            </w:pPr>
            <w:r>
              <w:t xml:space="preserve">Cloud-Native Posture · plane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Container / K8s platform &amp; security</w:t>
            </w:r>
          </w:p>
        </w:tc>
        <w:tc>
          <w:tcPr/>
          <w:p>
            <w:pPr>
              <w:pStyle w:val="Compact"/>
            </w:pPr>
            <w:r>
              <w:t xml:space="preserve">AKS, EKS, OKE, OpenShift; image scanning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CSP</w:t>
            </w:r>
          </w:p>
        </w:tc>
        <w:tc>
          <w:tcPr/>
          <w:p>
            <w:pPr>
              <w:pStyle w:val="Compact"/>
            </w:pPr>
            <w:r>
              <w:t xml:space="preserve">Cloud-Native Posture · plane 5/6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protection / DLP / classification</w:t>
            </w:r>
          </w:p>
        </w:tc>
        <w:tc>
          <w:tcPr/>
          <w:p>
            <w:pPr>
              <w:pStyle w:val="Compact"/>
            </w:pPr>
            <w:r>
              <w:t xml:space="preserve">Purview, AWS Macie, Symantec DLP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CSP</w:t>
            </w:r>
          </w:p>
        </w:tc>
        <w:tc>
          <w:tcPr/>
          <w:p>
            <w:pPr>
              <w:pStyle w:val="Compact"/>
            </w:pPr>
            <w:r>
              <w:t xml:space="preserve">Data Protection · plane 2/5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 management / HSM</w:t>
            </w:r>
          </w:p>
        </w:tc>
        <w:tc>
          <w:tcPr/>
          <w:p>
            <w:pPr>
              <w:pStyle w:val="Compact"/>
            </w:pPr>
            <w:r>
              <w:t xml:space="preserve">Azure Key Vault, AWS KMS, OCI Vault, Thales, Entrust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CSP</w:t>
            </w:r>
          </w:p>
        </w:tc>
        <w:tc>
          <w:tcPr/>
          <w:p>
            <w:pPr>
              <w:pStyle w:val="Compact"/>
            </w:pPr>
            <w:r>
              <w:t xml:space="preserve">Data Protection · plane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SIEM</w:t>
            </w:r>
          </w:p>
        </w:tc>
        <w:tc>
          <w:tcPr/>
          <w:p>
            <w:pPr>
              <w:pStyle w:val="Compact"/>
            </w:pPr>
            <w:r>
              <w:t xml:space="preserve">Sentinel, Splunk, Elastic, Google SecOps, QRadar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cross</w:t>
            </w:r>
          </w:p>
        </w:tc>
        <w:tc>
          <w:tcPr/>
          <w:p>
            <w:pPr>
              <w:pStyle w:val="Compact"/>
            </w:pPr>
            <w:r>
              <w:t xml:space="preserve">SIEM / Evidence Fabric · plane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XDR / EDR</w:t>
            </w:r>
          </w:p>
        </w:tc>
        <w:tc>
          <w:tcPr/>
          <w:p>
            <w:pPr>
              <w:pStyle w:val="Compact"/>
            </w:pPr>
            <w:r>
              <w:t xml:space="preserve">Defender XDR, Cortex XDR, CrowdStrike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OS/cross</w:t>
            </w:r>
          </w:p>
        </w:tc>
        <w:tc>
          <w:tcPr/>
          <w:p>
            <w:pPr>
              <w:pStyle w:val="Compact"/>
            </w:pPr>
            <w:r>
              <w:t xml:space="preserve">SIEM/XDR · plane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SOAR / automation</w:t>
            </w:r>
          </w:p>
        </w:tc>
        <w:tc>
          <w:tcPr/>
          <w:p>
            <w:pPr>
              <w:pStyle w:val="Compact"/>
            </w:pPr>
            <w:r>
              <w:t xml:space="preserve">Sentinel+Logic Apps, Cortex XSOAR, Splunk SOAR, ServiceNow SecOps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cross</w:t>
            </w:r>
          </w:p>
        </w:tc>
        <w:tc>
          <w:tcPr/>
          <w:p>
            <w:pPr>
              <w:pStyle w:val="Compact"/>
            </w:pPr>
            <w:r>
              <w:t xml:space="preserve">SIEM / Evidence Fabric · plane 6/7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Multi-cloud evidence / coordination hub</w:t>
            </w:r>
          </w:p>
        </w:tc>
        <w:tc>
          <w:tcPr/>
          <w:p>
            <w:pPr>
              <w:pStyle w:val="Compact"/>
            </w:pPr>
            <w:r>
              <w:t xml:space="preserve">ServiceNow, BMC Helix, Jira Service Mgmt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cross</w:t>
            </w:r>
          </w:p>
        </w:tc>
        <w:tc>
          <w:tcPr/>
          <w:p>
            <w:pPr>
              <w:pStyle w:val="Compact"/>
            </w:pPr>
            <w:r>
              <w:t xml:space="preserve">Evidence Fabric · plane 6/7</w:t>
            </w:r>
          </w:p>
        </w:tc>
      </w:tr>
    </w:tbl>
    <w:bookmarkEnd w:id="16"/>
    <w:bookmarkStart w:id="17" w:name="volume-iv-governance-assurance"/>
    <w:p>
      <w:pPr>
        <w:pStyle w:val="Heading2"/>
      </w:pPr>
      <w:r>
        <w:t xml:space="preserve">4.4 Volume IV — Governance &amp; Assurance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Example products</w:t>
            </w:r>
          </w:p>
        </w:tc>
        <w:tc>
          <w:tcPr/>
          <w:p>
            <w:pPr>
              <w:pStyle w:val="Compact"/>
            </w:pPr>
            <w:r>
              <w:t xml:space="preserve">In use?</w:t>
            </w:r>
          </w:p>
        </w:tc>
        <w:tc>
          <w:tcPr/>
          <w:p>
            <w:pPr>
              <w:pStyle w:val="Compact"/>
            </w:pPr>
            <w:r>
              <w:t xml:space="preserve">Product &amp; offering</w:t>
            </w:r>
          </w:p>
        </w:tc>
        <w:tc>
          <w:tcPr/>
          <w:p>
            <w:pPr>
              <w:pStyle w:val="Compact"/>
            </w:pPr>
            <w:r>
              <w:t xml:space="preserve">FedRAMP status</w:t>
            </w:r>
          </w:p>
        </w:tc>
        <w:tc>
          <w:tcPr/>
          <w:p>
            <w:pPr>
              <w:pStyle w:val="Compact"/>
            </w:pPr>
            <w:r>
              <w:t xml:space="preserve">Surface</w:t>
            </w:r>
          </w:p>
        </w:tc>
        <w:tc>
          <w:tcPr/>
          <w:p>
            <w:pPr>
              <w:pStyle w:val="Compact"/>
            </w:pPr>
            <w:r>
              <w:t xml:space="preserve">Maps 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Backup / BC-DR</w:t>
            </w:r>
          </w:p>
        </w:tc>
        <w:tc>
          <w:tcPr/>
          <w:p>
            <w:pPr>
              <w:pStyle w:val="Compact"/>
            </w:pPr>
            <w:r>
              <w:t xml:space="preserve">Azure Site Recovery, AWS Backup, Veeam, Commvault, Cohesity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cross</w:t>
            </w:r>
          </w:p>
        </w:tc>
        <w:tc>
          <w:tcPr/>
          <w:p>
            <w:pPr>
              <w:pStyle w:val="Compact"/>
            </w:pPr>
            <w:r>
              <w:t xml:space="preserve">Business Continuity · plane 7</w:t>
            </w:r>
          </w:p>
        </w:tc>
      </w:tr>
      <w:tr>
        <w:tc>
          <w:tcPr/>
          <w:p>
            <w:pPr>
              <w:pStyle w:val="Compact"/>
            </w:pPr>
            <w:r>
              <w:t xml:space="preserve">Supply chain / SBOM</w:t>
            </w:r>
          </w:p>
        </w:tc>
        <w:tc>
          <w:tcPr/>
          <w:p>
            <w:pPr>
              <w:pStyle w:val="Compact"/>
            </w:pPr>
            <w:r>
              <w:t xml:space="preserve">Syft, Grype, Anchore, Snyk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cross</w:t>
            </w:r>
          </w:p>
        </w:tc>
        <w:tc>
          <w:tcPr/>
          <w:p>
            <w:pPr>
              <w:pStyle w:val="Compact"/>
            </w:pPr>
            <w:r>
              <w:t xml:space="preserve">Supply Chain Risk Mgmt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Documentation / knowledge / collaboration</w:t>
            </w:r>
          </w:p>
        </w:tc>
        <w:tc>
          <w:tcPr/>
          <w:p>
            <w:pPr>
              <w:pStyle w:val="Compact"/>
            </w:pPr>
            <w:r>
              <w:t xml:space="preserve">Confluence (Atlassian Gov), SharePoint, ServiceNow KB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CSP</w:t>
            </w:r>
          </w:p>
        </w:tc>
        <w:tc>
          <w:tcPr/>
          <w:p>
            <w:pPr>
              <w:pStyle w:val="Compact"/>
            </w:pPr>
            <w:r>
              <w:t xml:space="preserve">Program Mgmt / 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GRC / ConMon / OSCAL</w:t>
            </w:r>
          </w:p>
        </w:tc>
        <w:tc>
          <w:tcPr/>
          <w:p>
            <w:pPr>
              <w:pStyle w:val="Compact"/>
            </w:pPr>
            <w:r>
              <w:t xml:space="preserve">ServiceNow GRC, Xacta, eMASS, or an OSCAL-emitting governance engine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cross</w:t>
            </w:r>
          </w:p>
        </w:tc>
        <w:tc>
          <w:tcPr/>
          <w:p>
            <w:pPr>
              <w:pStyle w:val="Compact"/>
            </w:pPr>
            <w:r>
              <w:t xml:space="preserve">Authorization Package &amp; ConMon</w:t>
            </w:r>
          </w:p>
        </w:tc>
      </w:tr>
    </w:tbl>
    <w:bookmarkEnd w:id="17"/>
    <w:bookmarkStart w:id="18" w:name="X05b28046dbd2044d54781c1fae3e9c0a317a118"/>
    <w:p>
      <w:pPr>
        <w:pStyle w:val="Heading2"/>
      </w:pPr>
      <w:r>
        <w:t xml:space="preserve">4.5 Volume VII — ServiceNow Control-Compliance Automation</w:t>
      </w:r>
    </w:p>
    <w:p>
      <w:pPr>
        <w:pStyle w:val="FirstParagraph"/>
      </w:pPr>
      <w:r>
        <w:t xml:space="preserve">The coordination layer that turns M365/Azure control state into tracked tasks,</w:t>
      </w:r>
      <w:r>
        <w:t xml:space="preserve"> </w:t>
      </w:r>
      <w:r>
        <w:t xml:space="preserve">reviewable change, and KSI evidence. ServiceNow is a</w:t>
      </w:r>
      <w:r>
        <w:t xml:space="preserve"> </w:t>
      </w:r>
      <w:r>
        <w:rPr>
          <w:b/>
          <w:bCs/>
        </w:rPr>
        <w:t xml:space="preserve">workflow/enforcement</w:t>
      </w:r>
      <w:r>
        <w:rPr>
          <w:b/>
          <w:bCs/>
        </w:rPr>
        <w:t xml:space="preserve"> </w:t>
      </w:r>
      <w:r>
        <w:rPr>
          <w:b/>
          <w:bCs/>
        </w:rPr>
        <w:t xml:space="preserve">plane</w:t>
      </w:r>
      <w:r>
        <w:t xml:space="preserve"> </w:t>
      </w:r>
      <w:r>
        <w:t xml:space="preserve">— its CMDB</w:t>
      </w:r>
      <w:r>
        <w:t xml:space="preserve"> </w:t>
      </w:r>
      <w:r>
        <w:rPr>
          <w:i/>
          <w:iCs/>
        </w:rPr>
        <w:t xml:space="preserve">reconciles to</w:t>
      </w:r>
      <w:r>
        <w:t xml:space="preserve"> </w:t>
      </w:r>
      <w:r>
        <w:t xml:space="preserve">IPAM/DDI (CM-8), it never becomes the SSOT,</w:t>
      </w:r>
      <w:r>
        <w:t xml:space="preserve"> </w:t>
      </w:r>
      <w:r>
        <w:t xml:space="preserve">and actuation stays platform-native. Reach into cloud is via Graph/native APIs</w:t>
      </w:r>
      <w:r>
        <w:t xml:space="preserve"> </w:t>
      </w:r>
      <w:r>
        <w:t xml:space="preserve">from an</w:t>
      </w:r>
      <w:r>
        <w:t xml:space="preserve"> </w:t>
      </w:r>
      <w:r>
        <w:rPr>
          <w:b/>
          <w:bCs/>
        </w:rPr>
        <w:t xml:space="preserve">in-boundary MID Server</w:t>
      </w:r>
      <w:r>
        <w:t xml:space="preserve">, with no standing admin.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Example products</w:t>
            </w:r>
          </w:p>
        </w:tc>
        <w:tc>
          <w:tcPr/>
          <w:p>
            <w:pPr>
              <w:pStyle w:val="Compact"/>
            </w:pPr>
            <w:r>
              <w:t xml:space="preserve">In use?</w:t>
            </w:r>
          </w:p>
        </w:tc>
        <w:tc>
          <w:tcPr/>
          <w:p>
            <w:pPr>
              <w:pStyle w:val="Compact"/>
            </w:pPr>
            <w:r>
              <w:t xml:space="preserve">Product &amp; offering</w:t>
            </w:r>
          </w:p>
        </w:tc>
        <w:tc>
          <w:tcPr/>
          <w:p>
            <w:pPr>
              <w:pStyle w:val="Compact"/>
            </w:pPr>
            <w:r>
              <w:t xml:space="preserve">FedRAMP status</w:t>
            </w:r>
          </w:p>
        </w:tc>
        <w:tc>
          <w:tcPr/>
          <w:p>
            <w:pPr>
              <w:pStyle w:val="Compact"/>
            </w:pPr>
            <w:r>
              <w:t xml:space="preserve">Surface</w:t>
            </w:r>
          </w:p>
        </w:tc>
        <w:tc>
          <w:tcPr/>
          <w:p>
            <w:pPr>
              <w:pStyle w:val="Compact"/>
            </w:pPr>
            <w:r>
              <w:t xml:space="preserve">Maps 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ITSM / workflow platform</w:t>
            </w:r>
          </w:p>
        </w:tc>
        <w:tc>
          <w:tcPr/>
          <w:p>
            <w:pPr>
              <w:pStyle w:val="Compact"/>
            </w:pPr>
            <w:r>
              <w:t xml:space="preserve">ServiceNow (Government Cloud), BMC Helix, Jira Service Mgmt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CSP</w:t>
            </w:r>
          </w:p>
        </w:tc>
        <w:tc>
          <w:tcPr/>
          <w:p>
            <w:pPr>
              <w:pStyle w:val="Compact"/>
            </w:pPr>
            <w:r>
              <w:t xml:space="preserve">Vol VII Bk 00–01 · plane 6/7</w:t>
            </w:r>
          </w:p>
        </w:tc>
      </w:tr>
      <w:tr>
        <w:tc>
          <w:tcPr/>
          <w:p>
            <w:pPr>
              <w:pStyle w:val="Compact"/>
            </w:pPr>
            <w:r>
              <w:t xml:space="preserve">CMDB / discovery</w:t>
            </w:r>
          </w:p>
        </w:tc>
        <w:tc>
          <w:tcPr/>
          <w:p>
            <w:pPr>
              <w:pStyle w:val="Compact"/>
            </w:pPr>
            <w:r>
              <w:t xml:space="preserve">ServiceNow Discovery / Service Graph, native CSP inventory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cross</w:t>
            </w:r>
          </w:p>
        </w:tc>
        <w:tc>
          <w:tcPr/>
          <w:p>
            <w:pPr>
              <w:pStyle w:val="Compact"/>
            </w:pPr>
            <w:r>
              <w:t xml:space="preserve">Vol VII Bk 01 (reconciled to IPAM/DDI, CM-8) · plane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M365 / Entra control test source</w:t>
            </w:r>
          </w:p>
        </w:tc>
        <w:tc>
          <w:tcPr/>
          <w:p>
            <w:pPr>
              <w:pStyle w:val="Compact"/>
            </w:pPr>
            <w:r>
              <w:t xml:space="preserve">Graph API, ScubaGear, Purview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CSP</w:t>
            </w:r>
          </w:p>
        </w:tc>
        <w:tc>
          <w:tcPr/>
          <w:p>
            <w:pPr>
              <w:pStyle w:val="Compact"/>
            </w:pPr>
            <w:r>
              <w:t xml:space="preserve">Vol VII Bk 02 · plane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Azure control test source</w:t>
            </w:r>
          </w:p>
        </w:tc>
        <w:tc>
          <w:tcPr/>
          <w:p>
            <w:pPr>
              <w:pStyle w:val="Compact"/>
            </w:pPr>
            <w:r>
              <w:t xml:space="preserve">Azure Policy, Defender for Cloud, Update Manager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CSP</w:t>
            </w:r>
          </w:p>
        </w:tc>
        <w:tc>
          <w:tcPr/>
          <w:p>
            <w:pPr>
              <w:pStyle w:val="Compact"/>
            </w:pPr>
            <w:r>
              <w:t xml:space="preserve">Vol VII Bk 03 · plane 6/7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GRC / IRM / attestation</w:t>
            </w:r>
          </w:p>
        </w:tc>
        <w:tc>
          <w:tcPr/>
          <w:p>
            <w:pPr>
              <w:pStyle w:val="Compact"/>
            </w:pPr>
            <w:r>
              <w:t xml:space="preserve">ServiceNow IRM/GRC, Xacta, eMASS, or an OSCAL-emitting governance engine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cross</w:t>
            </w:r>
          </w:p>
        </w:tc>
        <w:tc>
          <w:tcPr/>
          <w:p>
            <w:pPr>
              <w:pStyle w:val="Compact"/>
            </w:pPr>
            <w:r>
              <w:t xml:space="preserve">Vol VII Bk 04 · plane 6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In-boundary connector</w:t>
            </w:r>
          </w:p>
        </w:tc>
        <w:tc>
          <w:tcPr/>
          <w:p>
            <w:pPr>
              <w:pStyle w:val="Compact"/>
            </w:pPr>
            <w:r>
              <w:t xml:space="preserve">ServiceNow MID Server (in-boundary)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cross</w:t>
            </w:r>
          </w:p>
        </w:tc>
        <w:tc>
          <w:tcPr/>
          <w:p>
            <w:pPr>
              <w:pStyle w:val="Compact"/>
            </w:pPr>
            <w:r>
              <w:t xml:space="preserve">Vol VII Bk 05 (no standing admin) · plane 6/7</w:t>
            </w:r>
          </w:p>
        </w:tc>
      </w:tr>
    </w:tbl>
    <w:bookmarkEnd w:id="18"/>
    <w:bookmarkStart w:id="19" w:name="Xe98186fc8e3e984d63b88b7f4ff1af5f68a7961"/>
    <w:p>
      <w:pPr>
        <w:pStyle w:val="Heading2"/>
      </w:pPr>
      <w:r>
        <w:t xml:space="preserve">4.6 Volume VIII — Multi-Cloud DDI Landing-Zone Automation</w:t>
      </w:r>
    </w:p>
    <w:p>
      <w:pPr>
        <w:pStyle w:val="FirstParagraph"/>
      </w:pPr>
      <w:r>
        <w:t xml:space="preserve">The authoritative naming/addressing plane realized across</w:t>
      </w:r>
      <w:r>
        <w:t xml:space="preserve"> </w:t>
      </w:r>
      <w:r>
        <w:rPr>
          <w:b/>
          <w:bCs/>
        </w:rPr>
        <w:t xml:space="preserve">Azure, AWS, GCP, OCI,</w:t>
      </w:r>
      <w:r>
        <w:rPr>
          <w:b/>
          <w:bCs/>
        </w:rPr>
        <w:t xml:space="preserve"> </w:t>
      </w:r>
      <w:r>
        <w:rPr>
          <w:b/>
          <w:bCs/>
        </w:rPr>
        <w:t xml:space="preserve">and VMware</w:t>
      </w:r>
      <w:r>
        <w:t xml:space="preserve"> </w:t>
      </w:r>
      <w:r>
        <w:t xml:space="preserve">(the one deliberate multi-CSP breadth exception, by author</w:t>
      </w:r>
      <w:r>
        <w:t xml:space="preserve"> </w:t>
      </w:r>
      <w:r>
        <w:t xml:space="preserve">direction), with ServiceNow as the governed front door for DDI change.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Example products</w:t>
            </w:r>
          </w:p>
        </w:tc>
        <w:tc>
          <w:tcPr/>
          <w:p>
            <w:pPr>
              <w:pStyle w:val="Compact"/>
            </w:pPr>
            <w:r>
              <w:t xml:space="preserve">In use?</w:t>
            </w:r>
          </w:p>
        </w:tc>
        <w:tc>
          <w:tcPr/>
          <w:p>
            <w:pPr>
              <w:pStyle w:val="Compact"/>
            </w:pPr>
            <w:r>
              <w:t xml:space="preserve">Product &amp; offering</w:t>
            </w:r>
          </w:p>
        </w:tc>
        <w:tc>
          <w:tcPr/>
          <w:p>
            <w:pPr>
              <w:pStyle w:val="Compact"/>
            </w:pPr>
            <w:r>
              <w:t xml:space="preserve">FedRAMP status</w:t>
            </w:r>
          </w:p>
        </w:tc>
        <w:tc>
          <w:tcPr/>
          <w:p>
            <w:pPr>
              <w:pStyle w:val="Compact"/>
            </w:pPr>
            <w:r>
              <w:t xml:space="preserve">Surface</w:t>
            </w:r>
          </w:p>
        </w:tc>
        <w:tc>
          <w:tcPr/>
          <w:p>
            <w:pPr>
              <w:pStyle w:val="Compact"/>
            </w:pPr>
            <w:r>
              <w:t xml:space="preserve">Maps 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Multi-cloud DDI / IPAM</w:t>
            </w:r>
          </w:p>
        </w:tc>
        <w:tc>
          <w:tcPr/>
          <w:p>
            <w:pPr>
              <w:pStyle w:val="Compact"/>
            </w:pPr>
            <w:r>
              <w:t xml:space="preserve">InfoBlox DDI (Universal DDI / NIOS), BlueCat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cross</w:t>
            </w:r>
          </w:p>
        </w:tc>
        <w:tc>
          <w:tcPr/>
          <w:p>
            <w:pPr>
              <w:pStyle w:val="Compact"/>
            </w:pPr>
            <w:r>
              <w:t xml:space="preserve">Vol VIII Bk 01–06 (SC-20/22, CM-8) · plane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Cloud-native DNS/IPAM (per CSP)</w:t>
            </w:r>
          </w:p>
        </w:tc>
        <w:tc>
          <w:tcPr/>
          <w:p>
            <w:pPr>
              <w:pStyle w:val="Compact"/>
            </w:pPr>
            <w:r>
              <w:t xml:space="preserve">Azure DNS/IPAM, Route 53/VPC IPAM, Cloud DNS, OCI DNS, NSX-T DNS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CSP</w:t>
            </w:r>
          </w:p>
        </w:tc>
        <w:tc>
          <w:tcPr/>
          <w:p>
            <w:pPr>
              <w:pStyle w:val="Compact"/>
            </w:pPr>
            <w:r>
              <w:t xml:space="preserve">Vol VIII Bk 01–05 (reconciled to the DDI SSOT) · plane 2</w:t>
            </w:r>
          </w:p>
        </w:tc>
      </w:tr>
      <w:tr>
        <w:tc>
          <w:tcPr/>
          <w:p>
            <w:pPr>
              <w:pStyle w:val="Compact"/>
            </w:pPr>
            <w:r>
              <w:t xml:space="preserve">IaC provisioning</w:t>
            </w:r>
          </w:p>
        </w:tc>
        <w:tc>
          <w:tcPr/>
          <w:p>
            <w:pPr>
              <w:pStyle w:val="Compact"/>
            </w:pPr>
            <w:r>
              <w:t xml:space="preserve">Terraform / OpenTofu, Bicep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cross</w:t>
            </w:r>
          </w:p>
        </w:tc>
        <w:tc>
          <w:tcPr/>
          <w:p>
            <w:pPr>
              <w:pStyle w:val="Compact"/>
            </w:pPr>
            <w:r>
              <w:t xml:space="preserve">Vol VIII Bk 08 · plane 7</w:t>
            </w:r>
          </w:p>
        </w:tc>
      </w:tr>
      <w:tr>
        <w:tc>
          <w:tcPr/>
          <w:p>
            <w:pPr>
              <w:pStyle w:val="Compact"/>
            </w:pPr>
            <w:r>
              <w:t xml:space="preserve">DDI change front door</w:t>
            </w:r>
          </w:p>
        </w:tc>
        <w:tc>
          <w:tcPr/>
          <w:p>
            <w:pPr>
              <w:pStyle w:val="Compact"/>
            </w:pPr>
            <w:r>
              <w:t xml:space="preserve">ServiceNow Service Catalog + Flow Designer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CSP</w:t>
            </w:r>
          </w:p>
        </w:tc>
        <w:tc>
          <w:tcPr/>
          <w:p>
            <w:pPr>
              <w:pStyle w:val="Compact"/>
            </w:pPr>
            <w:r>
              <w:t xml:space="preserve">Vol VIII Bk 07 (CM-3/CM-5 SoD gate) · plane 6</w:t>
            </w:r>
          </w:p>
        </w:tc>
      </w:tr>
    </w:tbl>
    <w:bookmarkEnd w:id="19"/>
    <w:bookmarkStart w:id="20" w:name="volume-ix-servicenow-day-2-operations"/>
    <w:p>
      <w:pPr>
        <w:pStyle w:val="Heading2"/>
      </w:pPr>
      <w:r>
        <w:t xml:space="preserve">4.7 Volume IX — ServiceNow Day-2 Operations</w:t>
      </w:r>
    </w:p>
    <w:p>
      <w:pPr>
        <w:pStyle w:val="FirstParagraph"/>
      </w:pPr>
      <w:r>
        <w:t xml:space="preserve">The governed catalog for routine Entra/M365/Azure day-2 work — helpdesk, the</w:t>
      </w:r>
      <w:r>
        <w:t xml:space="preserve"> </w:t>
      </w:r>
      <w:r>
        <w:t xml:space="preserve">landing-zone front door, app-registration governance, and Teams telephony — same</w:t>
      </w:r>
      <w:r>
        <w:t xml:space="preserve"> </w:t>
      </w:r>
      <w:r>
        <w:t xml:space="preserve">discipline as Vol VII (Graph via in-boundary MID, no standing admin, every action</w:t>
      </w:r>
      <w:r>
        <w:t xml:space="preserve"> </w:t>
      </w:r>
      <w:r>
        <w:t xml:space="preserve">audited and reconciled to CM-8).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Example products</w:t>
            </w:r>
          </w:p>
        </w:tc>
        <w:tc>
          <w:tcPr/>
          <w:p>
            <w:pPr>
              <w:pStyle w:val="Compact"/>
            </w:pPr>
            <w:r>
              <w:t xml:space="preserve">In use?</w:t>
            </w:r>
          </w:p>
        </w:tc>
        <w:tc>
          <w:tcPr/>
          <w:p>
            <w:pPr>
              <w:pStyle w:val="Compact"/>
            </w:pPr>
            <w:r>
              <w:t xml:space="preserve">Product &amp; offering</w:t>
            </w:r>
          </w:p>
        </w:tc>
        <w:tc>
          <w:tcPr/>
          <w:p>
            <w:pPr>
              <w:pStyle w:val="Compact"/>
            </w:pPr>
            <w:r>
              <w:t xml:space="preserve">FedRAMP status</w:t>
            </w:r>
          </w:p>
        </w:tc>
        <w:tc>
          <w:tcPr/>
          <w:p>
            <w:pPr>
              <w:pStyle w:val="Compact"/>
            </w:pPr>
            <w:r>
              <w:t xml:space="preserve">Surface</w:t>
            </w:r>
          </w:p>
        </w:tc>
        <w:tc>
          <w:tcPr/>
          <w:p>
            <w:pPr>
              <w:pStyle w:val="Compact"/>
            </w:pPr>
            <w:r>
              <w:t xml:space="preserve">Maps to</w:t>
            </w:r>
          </w:p>
        </w:tc>
      </w:tr>
      <w:tr>
        <w:tc>
          <w:tcPr/>
          <w:p>
            <w:pPr>
              <w:pStyle w:val="Compact"/>
            </w:pPr>
            <w:r>
              <w:t xml:space="preserve">Helpdesk / ITSM catalog</w:t>
            </w:r>
          </w:p>
        </w:tc>
        <w:tc>
          <w:tcPr/>
          <w:p>
            <w:pPr>
              <w:pStyle w:val="Compact"/>
            </w:pPr>
            <w:r>
              <w:t xml:space="preserve">ServiceNow catalog over Entra/M365/Azure (Graph via MID)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cross</w:t>
            </w:r>
          </w:p>
        </w:tc>
        <w:tc>
          <w:tcPr/>
          <w:p>
            <w:pPr>
              <w:pStyle w:val="Compact"/>
            </w:pPr>
            <w:r>
              <w:t xml:space="preserve">Vol IX Bk 01 (AC-2, IA-5, AC-6) · plane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Landing-zone front door</w:t>
            </w:r>
          </w:p>
        </w:tc>
        <w:tc>
          <w:tcPr/>
          <w:p>
            <w:pPr>
              <w:pStyle w:val="Compact"/>
            </w:pPr>
            <w:r>
              <w:t xml:space="preserve">ServiceNow catalog → Terraform/Bicep → CMDB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cross</w:t>
            </w:r>
          </w:p>
        </w:tc>
        <w:tc>
          <w:tcPr/>
          <w:p>
            <w:pPr>
              <w:pStyle w:val="Compact"/>
            </w:pPr>
            <w:r>
              <w:t xml:space="preserve">Vol IX Bk 02 (CM-2/3/8) · plane 7</w:t>
            </w:r>
          </w:p>
        </w:tc>
      </w:tr>
      <w:tr>
        <w:tc>
          <w:tcPr/>
          <w:p>
            <w:pPr>
              <w:pStyle w:val="Compact"/>
            </w:pPr>
            <w:r>
              <w:t xml:space="preserve">App-registration governance</w:t>
            </w:r>
          </w:p>
        </w:tc>
        <w:tc>
          <w:tcPr/>
          <w:p>
            <w:pPr>
              <w:pStyle w:val="Compact"/>
            </w:pPr>
            <w:r>
              <w:t xml:space="preserve">Entra app registrations, ACME short-lived certs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CSP</w:t>
            </w:r>
          </w:p>
        </w:tc>
        <w:tc>
          <w:tcPr/>
          <w:p>
            <w:pPr>
              <w:pStyle w:val="Compact"/>
            </w:pPr>
            <w:r>
              <w:t xml:space="preserve">Vol IX Bk 03 (IA-5(2), SC-17, AC-6) · plane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Teams telephony</w:t>
            </w:r>
          </w:p>
        </w:tc>
        <w:tc>
          <w:tcPr/>
          <w:p>
            <w:pPr>
              <w:pStyle w:val="Compact"/>
            </w:pPr>
            <w:r>
              <w:t xml:space="preserve">Teams Phone, Direct Routing / Operator Connect / Calling Plans, SBC; E911 address validation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CSP</w:t>
            </w:r>
          </w:p>
        </w:tc>
        <w:tc>
          <w:tcPr/>
          <w:p>
            <w:pPr>
              <w:pStyle w:val="Compact"/>
            </w:pPr>
            <w:r>
              <w:t xml:space="preserve">Vol IX Bk 04 (CM-3/CM-6, AU-2) · plane 5</w:t>
            </w:r>
          </w:p>
        </w:tc>
      </w:tr>
    </w:tbl>
    <w:p>
      <w:pPr>
        <w:pStyle w:val="BodyText"/>
      </w:pPr>
      <w:r>
        <w:rPr>
          <w:b/>
          <w:bCs/>
        </w:rPr>
        <w:t xml:space="preserve">Volumes V (Training) and VI (Implementation)</w:t>
      </w:r>
      <w:r>
        <w:t xml:space="preserve"> </w:t>
      </w:r>
      <w:r>
        <w:t xml:space="preserve">are not product-discovery</w:t>
      </w:r>
      <w:r>
        <w:t xml:space="preserve"> </w:t>
      </w:r>
      <w:r>
        <w:t xml:space="preserve">surfaces in their own right — Volume V is enablement, and Volume VI operationalizes</w:t>
      </w:r>
      <w:r>
        <w:t xml:space="preserve"> </w:t>
      </w:r>
      <w:r>
        <w:t xml:space="preserve">the Volume I–IV architecture as deployable code using the same products inventoried</w:t>
      </w:r>
      <w:r>
        <w:t xml:space="preserve"> </w:t>
      </w:r>
      <w:r>
        <w:t xml:space="preserve">above (plus IaC/CI tooling: Terraform/OpenTofu, Bicep, GitHub Actions). No separate</w:t>
      </w:r>
      <w:r>
        <w:t xml:space="preserve"> </w:t>
      </w:r>
      <w:r>
        <w:t xml:space="preserve">intake table is needed for them; record any IaC/CI tooling under the Volume VII–VIII</w:t>
      </w:r>
      <w:r>
        <w:t xml:space="preserve"> </w:t>
      </w:r>
      <w:r>
        <w:t xml:space="preserve">rows above.</w:t>
      </w:r>
    </w:p>
    <w:bookmarkEnd w:id="20"/>
    <w:bookmarkEnd w:id="21"/>
    <w:bookmarkStart w:id="22" w:name="flags"/>
    <w:p>
      <w:pPr>
        <w:pStyle w:val="Heading1"/>
      </w:pPr>
      <w:r>
        <w:t xml:space="preserve">5. Flags &amp; Gaps Summary</w:t>
      </w:r>
    </w:p>
    <w:p>
      <w:pPr>
        <w:pStyle w:val="FirstParagraph"/>
      </w:pPr>
      <w:r>
        <w:t xml:space="preserve">Roll up here anything that failed the §2 rule or has no product at all. This</w:t>
      </w:r>
      <w:r>
        <w:t xml:space="preserve"> </w:t>
      </w:r>
      <w:r>
        <w:t xml:space="preserve">list becomes the procurement / boundary-decision agenda.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Issue (High-only · gear · unauthorized · missing)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Riverbed (Aternity/NPM+)</w:t>
            </w:r>
          </w:p>
        </w:tc>
        <w:tc>
          <w:tcPr/>
          <w:p>
            <w:pPr>
              <w:pStyle w:val="Compact"/>
            </w:pPr>
            <w:r>
              <w:t xml:space="preserve">Network observability</w:t>
            </w:r>
          </w:p>
        </w:tc>
        <w:tc>
          <w:tcPr/>
          <w:p>
            <w:pPr>
              <w:pStyle w:val="Compact"/>
            </w:pPr>
            <w:r>
              <w:t xml:space="preserve">Class D (High)-only cloud</w:t>
            </w:r>
          </w:p>
        </w:tc>
        <w:tc>
          <w:tcPr/>
          <w:p>
            <w:pPr>
              <w:pStyle w:val="Compact"/>
            </w:pPr>
            <w:r>
              <w:t xml:space="preserve">Confirm Moderate need or boundary fit</w:t>
            </w:r>
          </w:p>
        </w:tc>
      </w:tr>
      <w:tr>
        <w:tc>
          <w:tcPr/>
          <w:p>
            <w:pPr>
              <w:pStyle w:val="Compact"/>
            </w:pPr>
            <w:r>
              <w:t xml:space="preserve">Riverbed SteelHead</w:t>
            </w:r>
          </w:p>
        </w:tc>
        <w:tc>
          <w:tcPr/>
          <w:p>
            <w:pPr>
              <w:pStyle w:val="Compact"/>
            </w:pPr>
            <w:r>
              <w:t xml:space="preserve">WAN-opt</w:t>
            </w:r>
          </w:p>
        </w:tc>
        <w:tc>
          <w:tcPr/>
          <w:p>
            <w:pPr>
              <w:pStyle w:val="Compact"/>
            </w:pPr>
            <w:r>
              <w:t xml:space="preserve">On-prem gear (not FedRAMP)</w:t>
            </w:r>
          </w:p>
        </w:tc>
        <w:tc>
          <w:tcPr/>
          <w:p>
            <w:pPr>
              <w:pStyle w:val="Compact"/>
            </w:pPr>
            <w:r>
              <w:t xml:space="preserve">Accredit via NIAP/STIG/FIPS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Confluence</w:t>
            </w:r>
          </w:p>
        </w:tc>
        <w:tc>
          <w:tcPr/>
          <w:p>
            <w:pPr>
              <w:pStyle w:val="Compact"/>
            </w:pPr>
            <w:r>
              <w:t xml:space="preserve">Documentation</w:t>
            </w:r>
          </w:p>
        </w:tc>
        <w:tc>
          <w:tcPr/>
          <w:p>
            <w:pPr>
              <w:pStyle w:val="Compact"/>
            </w:pPr>
            <w:r>
              <w:t xml:space="preserve">Moderate</w:t>
            </w:r>
            <w:r>
              <w:t xml:space="preserve"> </w:t>
            </w:r>
            <w:r>
              <w:rPr>
                <w:b/>
                <w:bCs/>
              </w:rPr>
              <w:t xml:space="preserve">only</w:t>
            </w:r>
            <w:r>
              <w:t xml:space="preserve"> </w:t>
            </w:r>
            <w:r>
              <w:t xml:space="preserve">on Atlassian Gov Cloud</w:t>
            </w:r>
          </w:p>
        </w:tc>
        <w:tc>
          <w:tcPr/>
          <w:p>
            <w:pPr>
              <w:pStyle w:val="Compact"/>
            </w:pPr>
            <w:r>
              <w:t xml:space="preserve">Confirm not on commercial edition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ServiceNow</w:t>
            </w:r>
          </w:p>
        </w:tc>
        <w:tc>
          <w:tcPr/>
          <w:p>
            <w:pPr>
              <w:pStyle w:val="Compact"/>
            </w:pPr>
            <w:r>
              <w:t xml:space="preserve">Coordination hub</w:t>
            </w:r>
          </w:p>
        </w:tc>
        <w:tc>
          <w:tcPr/>
          <w:p>
            <w:pPr>
              <w:pStyle w:val="Compact"/>
            </w:pPr>
            <w:r>
              <w:t xml:space="preserve">Class D (High)</w:t>
            </w:r>
          </w:p>
        </w:tc>
        <w:tc>
          <w:tcPr/>
          <w:p>
            <w:pPr>
              <w:pStyle w:val="Compact"/>
            </w:pPr>
            <w:r>
              <w:t xml:space="preserve">Document as High covering Moderate boundary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Palo Alto Prisma Cloud (CNAPP)</w:t>
            </w:r>
          </w:p>
        </w:tc>
        <w:tc>
          <w:tcPr/>
          <w:p>
            <w:pPr>
              <w:pStyle w:val="Compact"/>
            </w:pPr>
            <w:r>
              <w:t xml:space="preserve">Cloud posture</w:t>
            </w:r>
          </w:p>
        </w:tc>
        <w:tc>
          <w:tcPr/>
          <w:p>
            <w:pPr>
              <w:pStyle w:val="Compact"/>
            </w:pPr>
            <w:r>
              <w:t xml:space="preserve">Class D (High)-only</w:t>
            </w:r>
          </w:p>
        </w:tc>
        <w:tc>
          <w:tcPr/>
          <w:p>
            <w:pPr>
              <w:pStyle w:val="Compact"/>
            </w:pPr>
            <w:r>
              <w:t xml:space="preserve">Agency-preferred; document as High covering Moderate, or select a Moderate CNAPP (Defender for Cloud)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i/>
                <w:iCs/>
              </w:rPr>
              <w:t xml:space="preserve">(add rows as discovery proceeds)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2"/>
    <w:bookmarkStart w:id="32" w:name="references-fedramp-status-sources"/>
    <w:p>
      <w:pPr>
        <w:pStyle w:val="Heading1"/>
      </w:pPr>
      <w:r>
        <w:t xml:space="preserve">6. References — FedRAMP Status Sources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Product</w:t>
            </w:r>
          </w:p>
        </w:tc>
        <w:tc>
          <w:tcPr/>
          <w:p>
            <w:pPr>
              <w:pStyle w:val="Compact"/>
            </w:pPr>
            <w:r>
              <w:t xml:space="preserve">Source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FedRAMP Marketplace</w:t>
            </w:r>
          </w:p>
        </w:tc>
        <w:tc>
          <w:tcPr/>
          <w:p>
            <w:pPr>
              <w:pStyle w:val="Compact"/>
            </w:pPr>
            <w:hyperlink r:id="rId23">
              <w:r>
                <w:rPr>
                  <w:rStyle w:val="Hyperlink"/>
                </w:rPr>
                <w:t xml:space="preserve">https://marketplace.fedramp.gov/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SailPoint Identity Security Cloud (Moderate)</w:t>
            </w:r>
          </w:p>
        </w:tc>
        <w:tc>
          <w:tcPr/>
          <w:p>
            <w:pPr>
              <w:pStyle w:val="Compact"/>
            </w:pPr>
            <w:hyperlink r:id="rId24">
              <w:r>
                <w:rPr>
                  <w:rStyle w:val="Hyperlink"/>
                </w:rPr>
                <w:t xml:space="preserve">https://www.fedramp.gov/marketplace/products/FR2001938710A/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ServiceNow Government Cloud (High)</w:t>
            </w:r>
          </w:p>
        </w:tc>
        <w:tc>
          <w:tcPr/>
          <w:p>
            <w:pPr>
              <w:pStyle w:val="Compact"/>
            </w:pPr>
            <w:hyperlink r:id="rId25">
              <w:r>
                <w:rPr>
                  <w:rStyle w:val="Hyperlink"/>
                </w:rPr>
                <w:t xml:space="preserve">https://www.servicenow.com/company/media/press-room/servicenow-secures-fedramp-high-authorization.html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Splunk Cloud Platform (Moderate)</w:t>
            </w:r>
          </w:p>
        </w:tc>
        <w:tc>
          <w:tcPr/>
          <w:p>
            <w:pPr>
              <w:pStyle w:val="Compact"/>
            </w:pPr>
            <w:hyperlink r:id="rId26">
              <w:r>
                <w:rPr>
                  <w:rStyle w:val="Hyperlink"/>
                </w:rPr>
                <w:t xml:space="preserve">https://www.fedramp.gov/marketplace/products/F1607197917/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Riverbed Platform for Government (Class D / High)</w:t>
            </w:r>
          </w:p>
        </w:tc>
        <w:tc>
          <w:tcPr/>
          <w:p>
            <w:pPr>
              <w:pStyle w:val="Compact"/>
            </w:pPr>
            <w:hyperlink r:id="rId27">
              <w:r>
                <w:rPr>
                  <w:rStyle w:val="Hyperlink"/>
                </w:rPr>
                <w:t xml:space="preserve">https://www.riverbed.com/blogs/riverbed-platform-achieves-fedramp-class-d-certification/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Atlassian Government Cloud — Confluence/Jira (Moderate)</w:t>
            </w:r>
          </w:p>
        </w:tc>
        <w:tc>
          <w:tcPr/>
          <w:p>
            <w:pPr>
              <w:pStyle w:val="Compact"/>
            </w:pPr>
            <w:hyperlink r:id="rId28">
              <w:r>
                <w:rPr>
                  <w:rStyle w:val="Hyperlink"/>
                </w:rPr>
                <w:t xml:space="preserve">https://www.atlassian.com/blog/announcements/atlassiangovernmentcloud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Tanium Cloud for US Government (Moderate)</w:t>
            </w:r>
          </w:p>
        </w:tc>
        <w:tc>
          <w:tcPr/>
          <w:p>
            <w:pPr>
              <w:pStyle w:val="Compact"/>
            </w:pPr>
            <w:hyperlink r:id="rId29">
              <w:r>
                <w:rPr>
                  <w:rStyle w:val="Hyperlink"/>
                </w:rPr>
                <w:t xml:space="preserve">https://www.fedramp.gov/marketplace/products/FR2110342613/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Wiz for Government (High)</w:t>
            </w:r>
          </w:p>
        </w:tc>
        <w:tc>
          <w:tcPr/>
          <w:p>
            <w:pPr>
              <w:pStyle w:val="Compact"/>
            </w:pPr>
            <w:hyperlink r:id="rId30">
              <w:r>
                <w:rPr>
                  <w:rStyle w:val="Hyperlink"/>
                </w:rPr>
                <w:t xml:space="preserve">https://www.wiz.io/blog/wiz-achieves-fedramp-high-authorization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Palo Alto Prisma Cloud (High)</w:t>
            </w:r>
          </w:p>
        </w:tc>
        <w:tc>
          <w:tcPr/>
          <w:p>
            <w:pPr>
              <w:pStyle w:val="Compact"/>
            </w:pPr>
            <w:hyperlink r:id="rId31">
              <w:r>
                <w:rPr>
                  <w:rStyle w:val="Hyperlink"/>
                </w:rPr>
                <w:t xml:space="preserve">https://www.paloaltonetworks.com/blog/prisma-cloud/fedramp-high-impact-ready/</w:t>
              </w:r>
            </w:hyperlink>
          </w:p>
        </w:tc>
      </w:tr>
    </w:tbl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https://marketplace.fedramp.gov/" TargetMode="External" /><Relationship Type="http://schemas.openxmlformats.org/officeDocument/2006/relationships/hyperlink" Id="rId28" Target="https://www.atlassian.com/blog/announcements/atlassiangovernmentcloud" TargetMode="External" /><Relationship Type="http://schemas.openxmlformats.org/officeDocument/2006/relationships/hyperlink" Id="rId26" Target="https://www.fedramp.gov/marketplace/products/F1607197917/" TargetMode="External" /><Relationship Type="http://schemas.openxmlformats.org/officeDocument/2006/relationships/hyperlink" Id="rId24" Target="https://www.fedramp.gov/marketplace/products/FR2001938710A/" TargetMode="External" /><Relationship Type="http://schemas.openxmlformats.org/officeDocument/2006/relationships/hyperlink" Id="rId29" Target="https://www.fedramp.gov/marketplace/products/FR2110342613/" TargetMode="External" /><Relationship Type="http://schemas.openxmlformats.org/officeDocument/2006/relationships/hyperlink" Id="rId31" Target="https://www.paloaltonetworks.com/blog/prisma-cloud/fedramp-high-impact-ready/" TargetMode="External" /><Relationship Type="http://schemas.openxmlformats.org/officeDocument/2006/relationships/hyperlink" Id="rId27" Target="https://www.riverbed.com/blogs/riverbed-platform-achieves-fedramp-class-d-certification/" TargetMode="External" /><Relationship Type="http://schemas.openxmlformats.org/officeDocument/2006/relationships/hyperlink" Id="rId25" Target="https://www.servicenow.com/company/media/press-room/servicenow-secures-fedramp-high-authorization.html" TargetMode="External" /><Relationship Type="http://schemas.openxmlformats.org/officeDocument/2006/relationships/hyperlink" Id="rId30" Target="https://www.wiz.io/blog/wiz-achieves-fedramp-high-authoriz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s://marketplace.fedramp.gov/" TargetMode="External" /><Relationship Type="http://schemas.openxmlformats.org/officeDocument/2006/relationships/hyperlink" Id="rId28" Target="https://www.atlassian.com/blog/announcements/atlassiangovernmentcloud" TargetMode="External" /><Relationship Type="http://schemas.openxmlformats.org/officeDocument/2006/relationships/hyperlink" Id="rId26" Target="https://www.fedramp.gov/marketplace/products/F1607197917/" TargetMode="External" /><Relationship Type="http://schemas.openxmlformats.org/officeDocument/2006/relationships/hyperlink" Id="rId24" Target="https://www.fedramp.gov/marketplace/products/FR2001938710A/" TargetMode="External" /><Relationship Type="http://schemas.openxmlformats.org/officeDocument/2006/relationships/hyperlink" Id="rId29" Target="https://www.fedramp.gov/marketplace/products/FR2110342613/" TargetMode="External" /><Relationship Type="http://schemas.openxmlformats.org/officeDocument/2006/relationships/hyperlink" Id="rId31" Target="https://www.paloaltonetworks.com/blog/prisma-cloud/fedramp-high-impact-ready/" TargetMode="External" /><Relationship Type="http://schemas.openxmlformats.org/officeDocument/2006/relationships/hyperlink" Id="rId27" Target="https://www.riverbed.com/blogs/riverbed-platform-achieves-fedramp-class-d-certification/" TargetMode="External" /><Relationship Type="http://schemas.openxmlformats.org/officeDocument/2006/relationships/hyperlink" Id="rId25" Target="https://www.servicenow.com/company/media/press-room/servicenow-secures-fedramp-high-authorization.html" TargetMode="External" /><Relationship Type="http://schemas.openxmlformats.org/officeDocument/2006/relationships/hyperlink" Id="rId30" Target="https://www.wiz.io/blog/wiz-achieves-fedramp-high-authoriz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Federal Compliance — Existing Product Inventory Questionnaire</dc:title>
  <dc:creator>Federal Cloud Services</dc:creator>
  <cp:keywords/>
  <dcterms:created xsi:type="dcterms:W3CDTF">2026-10-19T10:09:45Z</dcterms:created>
  <dcterms:modified xsi:type="dcterms:W3CDTF">2026-10-19T10:09:45Z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gency">
    <vt:lpwstr/>
  </property>
  <property fmtid="{D5CDD505-2E9C-101B-9397-08002B2CF9AE}" pid="3" name="aliases">
    <vt:lpwstr/>
  </property>
  <property fmtid="{D5CDD505-2E9C-101B-9397-08002B2CF9AE}" pid="4" name="authors">
    <vt:lpwstr/>
  </property>
  <property fmtid="{D5CDD505-2E9C-101B-9397-08002B2CF9AE}" pid="5" name="biblio-config">
    <vt:lpwstr>True</vt:lpwstr>
  </property>
  <property fmtid="{D5CDD505-2E9C-101B-9397-08002B2CF9AE}" pid="6" name="by-author">
    <vt:lpwstr/>
  </property>
  <property fmtid="{D5CDD505-2E9C-101B-9397-08002B2CF9AE}" pid="7" name="date">
    <vt:lpwstr>2026-07-18 04:33 ET</vt:lpwstr>
  </property>
  <property fmtid="{D5CDD505-2E9C-101B-9397-08002B2CF9AE}" pid="8" name="date-format">
    <vt:lpwstr>YYYY-MM-DD HH:mm [ET]</vt:lpwstr>
  </property>
  <property fmtid="{D5CDD505-2E9C-101B-9397-08002B2CF9AE}" pid="9" name="execute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labels">
    <vt:lpwstr/>
  </property>
  <property fmtid="{D5CDD505-2E9C-101B-9397-08002B2CF9AE}" pid="14" name="out-width">
    <vt:lpwstr>100%</vt:lpwstr>
  </property>
  <property fmtid="{D5CDD505-2E9C-101B-9397-08002B2CF9AE}" pid="15" name="subtitle">
    <vt:lpwstr>Discovery Instrument: Map the Agency’s Deployed Tools onto the Compliance Compliance Architecture</vt:lpwstr>
  </property>
  <property fmtid="{D5CDD505-2E9C-101B-9397-08002B2CF9AE}" pid="16" name="toc-title">
    <vt:lpwstr>Table of contents</vt:lpwstr>
  </property>
</Properties>
</file>