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Compliance — Series Control Crosswalk</w:t>
      </w:r>
    </w:p>
    <w:p>
      <w:pPr>
        <w:pStyle w:val="Subtitle"/>
      </w:pPr>
      <w:r>
        <w:t xml:space="preserve">Appendix: Master NIST SP 800-53 Rev 5 Control -&gt; Volume/Book Index Across the Eleven-Volume Series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2026-07-20 00:10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--subject-to-review"/>
    <w:p>
      <w:pPr>
        <w:pStyle w:val="Heading2"/>
      </w:pPr>
      <w:r>
        <w:t xml:space="preserve">0.1 Draft Proposal -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is a navigational index, not an authorization artifact, control-inheritance claim, or assessment result, and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20:10 ET</w:t>
      </w:r>
    </w:p>
    <w:bookmarkEnd w:id="9"/>
    <w:bookmarkStart w:id="11" w:name="purpose"/>
    <w:p>
      <w:pPr>
        <w:pStyle w:val="Heading1"/>
      </w:pPr>
      <w:r>
        <w:t xml:space="preserve">1. Purpose</w:t>
      </w:r>
    </w:p>
    <w:p>
      <w:pPr>
        <w:pStyle w:val="FirstParagraph"/>
      </w:pPr>
      <w:r>
        <w:t xml:space="preserve">This appendix is the</w:t>
      </w:r>
      <w:r>
        <w:t xml:space="preserve"> </w:t>
      </w:r>
      <w:r>
        <w:rPr>
          <w:b/>
          <w:bCs/>
        </w:rPr>
        <w:t xml:space="preserve">series-wide control crosswalk</w:t>
      </w:r>
      <w:r>
        <w:t xml:space="preserve"> </w:t>
      </w:r>
      <w:r>
        <w:t xml:space="preserve">for the Federal</w:t>
      </w:r>
      <w:r>
        <w:t xml:space="preserve"> </w:t>
      </w:r>
      <w:r>
        <w:t xml:space="preserve">Compliance program. It answers one question directly:</w:t>
      </w:r>
      <w:r>
        <w:t xml:space="preserve"> </w:t>
      </w:r>
      <w:r>
        <w:rPr>
          <w:i/>
          <w:iCs/>
        </w:rPr>
        <w:t xml:space="preserve">for a given NIST SP 800-53 Rev 5 control, where in the eleven-volume series is it</w:t>
      </w:r>
      <w:r>
        <w:rPr>
          <w:i/>
          <w:iCs/>
        </w:rPr>
        <w:t xml:space="preserve"> </w:t>
      </w:r>
      <w:r>
        <w:rPr>
          <w:i/>
          <w:iCs/>
        </w:rPr>
        <w:t xml:space="preserve">addressed?</w:t>
      </w:r>
      <w:r>
        <w:t xml:space="preserve"> </w:t>
      </w:r>
      <w:r>
        <w:t xml:space="preserve">Use it as a reverse index when responding to an assessor, building a</w:t>
      </w:r>
      <w:r>
        <w:t xml:space="preserve"> </w:t>
      </w:r>
      <w:r>
        <w:t xml:space="preserve">System Security Plan control-origination table, or checking that a control family</w:t>
      </w:r>
      <w:r>
        <w:t xml:space="preserve"> </w:t>
      </w:r>
      <w:r>
        <w:t xml:space="preserve">is covered before an authorization review.</w:t>
      </w:r>
    </w:p>
    <w:p>
      <w:pPr>
        <w:pStyle w:val="BodyText"/>
      </w:pPr>
      <w:r>
        <w:t xml:space="preserve">Across the 149 distinct controls indexed here, the series addresses coverage</w:t>
      </w:r>
      <w:r>
        <w:t xml:space="preserve"> </w:t>
      </w:r>
      <w:r>
        <w:t xml:space="preserve">spanning Volumes I through IX — the transport, data-platform, security-operations,</w:t>
      </w:r>
      <w:r>
        <w:t xml:space="preserve"> </w:t>
      </w:r>
      <w:r>
        <w:t xml:space="preserve">governance, training, and implementation layers, plus the three coordination and</w:t>
      </w:r>
      <w:r>
        <w:t xml:space="preserve"> </w:t>
      </w:r>
      <w:r>
        <w:t xml:space="preserve">day-2 volumes:</w:t>
      </w:r>
      <w:r>
        <w:t xml:space="preserve"> </w:t>
      </w:r>
      <w:r>
        <w:rPr>
          <w:b/>
          <w:bCs/>
        </w:rPr>
        <w:t xml:space="preserve">Volume VII (ServiceNow control-compliance automation)</w:t>
      </w:r>
      <w:r>
        <w:t xml:space="preserve">,</w:t>
      </w:r>
      <w:r>
        <w:t xml:space="preserve"> </w:t>
      </w:r>
      <w:r>
        <w:rPr>
          <w:b/>
          <w:bCs/>
        </w:rPr>
        <w:t xml:space="preserve">Volume VIII (multi-cloud DDI landing-zone automation)</w:t>
      </w:r>
      <w:r>
        <w:t xml:space="preserve">, and</w:t>
      </w:r>
      <w:r>
        <w:t xml:space="preserve"> </w:t>
      </w:r>
      <w:r>
        <w:rPr>
          <w:b/>
          <w:bCs/>
        </w:rPr>
        <w:t xml:space="preserve">Volume IX</w:t>
      </w:r>
      <w:r>
        <w:rPr>
          <w:b/>
          <w:bCs/>
        </w:rPr>
        <w:t xml:space="preserve"> </w:t>
      </w:r>
      <w:r>
        <w:rPr>
          <w:b/>
          <w:bCs/>
        </w:rPr>
        <w:t xml:space="preserve">(ServiceNow day-2 operations)</w:t>
      </w:r>
      <w:r>
        <w:t xml:space="preserve">. Those three do not, in the main, close</w:t>
      </w:r>
      <w:r>
        <w:t xml:space="preserve"> </w:t>
      </w:r>
      <w:r>
        <w:rPr>
          <w:i/>
          <w:iCs/>
        </w:rPr>
        <w:t xml:space="preserve">new</w:t>
      </w:r>
      <w:r>
        <w:t xml:space="preserve"> </w:t>
      </w:r>
      <w:r>
        <w:t xml:space="preserve">control numbers — they</w:t>
      </w:r>
      <w:r>
        <w:t xml:space="preserve"> </w:t>
      </w:r>
      <w:r>
        <w:rPr>
          <w:i/>
          <w:iCs/>
        </w:rPr>
        <w:t xml:space="preserve">coordinate, evidence, and operate</w:t>
      </w:r>
      <w:r>
        <w:t xml:space="preserve"> </w:t>
      </w:r>
      <w:r>
        <w:t xml:space="preserve">controls the</w:t>
      </w:r>
      <w:r>
        <w:t xml:space="preserve"> </w:t>
      </w:r>
      <w:r>
        <w:t xml:space="preserve">architecture volumes already close, routing drift to owners and reconciling every</w:t>
      </w:r>
      <w:r>
        <w:t xml:space="preserve"> </w:t>
      </w:r>
      <w:r>
        <w:t xml:space="preserve">asset to the CM-8 join key (the genuinely new control numbers they add are</w:t>
      </w:r>
      <w:r>
        <w:t xml:space="preserve"> </w:t>
      </w:r>
      <w:r>
        <w:rPr>
          <w:b/>
          <w:bCs/>
        </w:rPr>
        <w:t xml:space="preserve">CM-5</w:t>
      </w:r>
      <w:r>
        <w:t xml:space="preserve"> </w:t>
      </w:r>
      <w:r>
        <w:t xml:space="preserve">(separation-of-duties over DDI change) plus AC-2(3), AC-2(4), and SA-9(2) from Vol IX Book 05).</w:t>
      </w:r>
    </w:p>
    <w:bookmarkStart w:id="10" w:name="Xf59d330d71315fc885bac97069dc1b63053fe99"/>
    <w:p>
      <w:pPr>
        <w:pStyle w:val="Heading2"/>
      </w:pPr>
      <w:r>
        <w:t xml:space="preserve">1.1 Maintenance status — a machine-derived slice now exists; this master table remains the hand-maintained superset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per-book</w:t>
      </w:r>
      <w:r>
        <w:rPr>
          <w:b/>
          <w:bCs/>
        </w:rPr>
        <w:t xml:space="preserve"> </w:t>
      </w:r>
      <w:r>
        <w:rPr>
          <w:b/>
          <w:bCs/>
        </w:rPr>
        <w:t xml:space="preserve">“Authorities Closed Here”</w:t>
      </w:r>
      <w:r>
        <w:rPr>
          <w:b/>
          <w:bCs/>
        </w:rPr>
        <w:t xml:space="preserve"> </w:t>
      </w:r>
      <w:r>
        <w:rPr>
          <w:b/>
          <w:bCs/>
        </w:rPr>
        <w:t xml:space="preserve">tables are generated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, and a CI drift 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--check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.github/workflows/federal-compliance-authorities-drift.yml</w:t>
      </w:r>
      <w:r>
        <w:t xml:space="preserve">) blocks any partial</w:t>
      </w:r>
      <w:r>
        <w:t xml:space="preserve"> </w:t>
      </w:r>
      <w:r>
        <w:t xml:space="preserve">that diverges from the spine. A</w:t>
      </w:r>
      <w:r>
        <w:t xml:space="preserve"> </w:t>
      </w:r>
      <w:r>
        <w:rPr>
          <w:b/>
          <w:bCs/>
        </w:rPr>
        <w:t xml:space="preserve">spine-derived crosswalk is now generated too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render_crosswalk.py</w:t>
      </w:r>
      <w:r>
        <w:t xml:space="preserve"> </w:t>
      </w:r>
      <w:r>
        <w:t xml:space="preserve">renders</w:t>
      </w:r>
      <w:r>
        <w:t xml:space="preserve"> </w:t>
      </w:r>
      <w:r>
        <w:rPr>
          <w:rStyle w:val="VerbatimChar"/>
        </w:rPr>
        <w:t xml:space="preserve">Compliance_Spine_Crosswalk.md</w:t>
      </w:r>
      <w:r>
        <w:t xml:space="preserve"> </w:t>
      </w:r>
      <w:r>
        <w:t xml:space="preserve">from the same closures and is behind the same drift gate, so the machine-derived</w:t>
      </w:r>
      <w:r>
        <w:t xml:space="preserve"> </w:t>
      </w:r>
      <w:r>
        <w:t xml:space="preserve">slice can never silently fall out of sync with the spine. That slice currently</w:t>
      </w:r>
      <w:r>
        <w:t xml:space="preserve"> </w:t>
      </w:r>
      <w:r>
        <w:t xml:space="preserve">covers the</w:t>
      </w:r>
      <w:r>
        <w:t xml:space="preserve"> </w:t>
      </w:r>
      <w:r>
        <w:rPr>
          <w:b/>
          <w:bCs/>
        </w:rPr>
        <w:t xml:space="preserve">106 closures across 21 of 72 books</w:t>
      </w:r>
      <w:r>
        <w:t xml:space="preserve"> </w:t>
      </w:r>
      <w:r>
        <w:t xml:space="preserve">the spine carries (53 distinct</w:t>
      </w:r>
      <w:r>
        <w:t xml:space="preserve"> </w:t>
      </w:r>
      <w:r>
        <w:t xml:space="preserve">controls).</w:t>
      </w:r>
      <w:r>
        <w:t xml:space="preserve"> </w:t>
      </w:r>
      <w:r>
        <w:rPr>
          <w:b/>
          <w:bCs/>
        </w:rPr>
        <w:t xml:space="preserve">This series-wide master table below is still the hand-maintained</w:t>
      </w:r>
      <w:r>
        <w:rPr>
          <w:b/>
          <w:bCs/>
        </w:rP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— it indexes all 149 controls, including the books the spine has not</w:t>
      </w:r>
      <w:r>
        <w:t xml:space="preserve"> </w:t>
      </w:r>
      <w:r>
        <w:t xml:space="preserve">yet back-filled — so treat it as an author-maintained index, and read the</w:t>
      </w:r>
      <w:r>
        <w:t xml:space="preserve"> </w:t>
      </w:r>
      <w:r>
        <w:t xml:space="preserve">generated slice for the machine-verified subset. As the spine is back-filled book</w:t>
      </w:r>
      <w:r>
        <w:t xml:space="preserve"> </w:t>
      </w:r>
      <w:r>
        <w:t xml:space="preserve">by book, the generated slice grows toward this master automatically.</w:t>
      </w:r>
    </w:p>
    <w:bookmarkEnd w:id="10"/>
    <w:bookmarkEnd w:id="11"/>
    <w:bookmarkStart w:id="12" w:name="how-this-crosswalk-was-built"/>
    <w:p>
      <w:pPr>
        <w:pStyle w:val="Heading1"/>
      </w:pPr>
      <w:r>
        <w:t xml:space="preserve">2. How This Crosswalk Was Built</w:t>
      </w:r>
    </w:p>
    <w:p>
      <w:pPr>
        <w:pStyle w:val="FirstParagraph"/>
      </w:pPr>
      <w:r>
        <w:t xml:space="preserve">The mapping is</w:t>
      </w:r>
      <w:r>
        <w:t xml:space="preserve"> </w:t>
      </w:r>
      <w:r>
        <w:rPr>
          <w:b/>
          <w:bCs/>
        </w:rPr>
        <w:t xml:space="preserve">extracted from each book’s own primary control treatment</w:t>
      </w:r>
      <w:r>
        <w:t xml:space="preserve"> </w:t>
      </w:r>
      <w:r>
        <w:t xml:space="preserve">— the</w:t>
      </w:r>
      <w:r>
        <w:t xml:space="preserve"> </w:t>
      </w:r>
      <w:r>
        <w:t xml:space="preserve">“NIST 800-53 Rev 5 Control Closure”</w:t>
      </w:r>
      <w:r>
        <w:t xml:space="preserve"> </w:t>
      </w:r>
      <w:r>
        <w:t xml:space="preserve">/</w:t>
      </w:r>
      <w:r>
        <w:t xml:space="preserve"> </w:t>
      </w:r>
      <w:r>
        <w:t xml:space="preserve">“Authorities Closed Here”</w:t>
      </w:r>
      <w:r>
        <w:t xml:space="preserve"> </w:t>
      </w:r>
      <w:r>
        <w:t xml:space="preserve">tables and the</w:t>
      </w:r>
      <w:r>
        <w:t xml:space="preserve"> </w:t>
      </w:r>
      <w:r>
        <w:t xml:space="preserve">sections where a control is the substantive subject. Controls that a book only</w:t>
      </w:r>
      <w:r>
        <w:t xml:space="preserve"> </w:t>
      </w:r>
      <w:r>
        <w:t xml:space="preserve">mentions in passing, cites in a framework-alignment cross-reference, or names in a</w:t>
      </w:r>
      <w:r>
        <w:t xml:space="preserve"> </w:t>
      </w:r>
      <w:r>
        <w:t xml:space="preserve">vendor appendix are deliberately</w:t>
      </w:r>
      <w:r>
        <w:t xml:space="preserve"> </w:t>
      </w:r>
      <w:r>
        <w:rPr>
          <w:b/>
          <w:bCs/>
        </w:rPr>
        <w:t xml:space="preserve">excluded</w:t>
      </w:r>
      <w:r>
        <w:t xml:space="preserve">, so a row here means the series</w:t>
      </w:r>
      <w:r>
        <w:t xml:space="preserve"> </w:t>
      </w:r>
      <w:r>
        <w:t xml:space="preserve">treats that control as a first-class subject in the named book.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Titles</w:t>
      </w:r>
      <w:r>
        <w:t xml:space="preserve"> </w:t>
      </w:r>
      <w:r>
        <w:t xml:space="preserve">are the official NIST SP 800-53 Rev 5 short control titles, which</w:t>
      </w:r>
      <w:r>
        <w:t xml:space="preserve"> </w:t>
      </w:r>
      <w:r>
        <w:t xml:space="preserve">occasionally differ from a book’s prose wording.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Volume VI (Implementation)</w:t>
      </w:r>
      <w:r>
        <w:t xml:space="preserve"> </w:t>
      </w:r>
      <w:r>
        <w:t xml:space="preserve">rows record where a control is</w:t>
      </w:r>
      <w:r>
        <w:t xml:space="preserve"> </w:t>
      </w:r>
      <w:r>
        <w:rPr>
          <w:i/>
          <w:iCs/>
        </w:rPr>
        <w:t xml:space="preserve">operationalized as</w:t>
      </w:r>
      <w:r>
        <w:rPr>
          <w:i/>
          <w:iCs/>
        </w:rPr>
        <w:t xml:space="preserve"> </w:t>
      </w:r>
      <w:r>
        <w:rPr>
          <w:i/>
          <w:iCs/>
        </w:rPr>
        <w:t xml:space="preserve">deployable code</w:t>
      </w:r>
      <w:r>
        <w:t xml:space="preserve">; the architecture book that closes the same control appears on</w:t>
      </w:r>
      <w:r>
        <w:t xml:space="preserve"> </w:t>
      </w:r>
      <w:r>
        <w:t xml:space="preserve">the same row, so both the</w:t>
      </w:r>
      <w:r>
        <w:t xml:space="preserve"> </w:t>
      </w:r>
      <w:r>
        <w:t xml:space="preserve">“what”</w:t>
      </w:r>
      <w:r>
        <w:t xml:space="preserve"> </w:t>
      </w:r>
      <w:r>
        <w:t xml:space="preserve">and the</w:t>
      </w:r>
      <w:r>
        <w:t xml:space="preserve"> </w:t>
      </w:r>
      <w:r>
        <w:t xml:space="preserve">“how”</w:t>
      </w:r>
      <w:r>
        <w:t xml:space="preserve"> </w:t>
      </w:r>
      <w:r>
        <w:t xml:space="preserve">are visible at a glance.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Volume V (Training &amp; Certification)</w:t>
      </w:r>
      <w:r>
        <w:t xml:space="preserve"> </w:t>
      </w:r>
      <w:r>
        <w:t xml:space="preserve">contributes only the controls whose own</w:t>
      </w:r>
      <w:r>
        <w:t xml:space="preserve"> </w:t>
      </w:r>
      <w:r>
        <w:t xml:space="preserve">subject is the training program itself (AT-2 / AT-3), not the many controls it</w:t>
      </w:r>
      <w:r>
        <w:t xml:space="preserve"> </w:t>
      </w:r>
      <w:r>
        <w:t xml:space="preserve">teaches.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Volumes VII–IX (ServiceNow coordination, multi-cloud DDI, and day-2</w:t>
      </w:r>
      <w:r>
        <w:rPr>
          <w:b/>
          <w:bCs/>
        </w:rPr>
        <w:t xml:space="preserve"> </w:t>
      </w:r>
      <w:r>
        <w:rPr>
          <w:b/>
          <w:bCs/>
        </w:rPr>
        <w:t xml:space="preserve">operations)</w:t>
      </w:r>
      <w:r>
        <w:t xml:space="preserve"> </w:t>
      </w:r>
      <w:r>
        <w:t xml:space="preserve">record where a control is</w:t>
      </w:r>
      <w:r>
        <w:t xml:space="preserve"> </w:t>
      </w:r>
      <w:r>
        <w:rPr>
          <w:i/>
          <w:iCs/>
        </w:rPr>
        <w:t xml:space="preserve">coordinated, evidenced, or operated</w:t>
      </w:r>
      <w:r>
        <w:t xml:space="preserve"> </w:t>
      </w:r>
      <w:r>
        <w:t xml:space="preserve">—</w:t>
      </w:r>
      <w:r>
        <w:t xml:space="preserve"> </w:t>
      </w:r>
      <w:r>
        <w:t xml:space="preserve">drift raised as a tracked ServiceNow task, a change gated by an approved record,</w:t>
      </w:r>
      <w:r>
        <w:t xml:space="preserve"> </w:t>
      </w:r>
      <w:r>
        <w:t xml:space="preserve">an asset reconciled to the CM-8 join key. With one exception (</w:t>
      </w:r>
      <w:r>
        <w:rPr>
          <w:b/>
          <w:bCs/>
        </w:rPr>
        <w:t xml:space="preserve">CM-5</w:t>
      </w:r>
      <w:r>
        <w:t xml:space="preserve">, new in</w:t>
      </w:r>
      <w:r>
        <w:t xml:space="preserve"> </w:t>
      </w:r>
      <w:r>
        <w:t xml:space="preserve">Vol VIII), these volumes re-close control numbers the architecture volumes</w:t>
      </w:r>
      <w:r>
        <w:t xml:space="preserve"> </w:t>
      </w:r>
      <w:r>
        <w:t xml:space="preserve">already own, at a different plane (workflow/enforcement) — so a row here for one</w:t>
      </w:r>
      <w:r>
        <w:t xml:space="preserve"> </w:t>
      </w:r>
      <w:r>
        <w:t xml:space="preserve">of these volumes means</w:t>
      </w:r>
      <w:r>
        <w:t xml:space="preserve"> </w:t>
      </w:r>
      <w:r>
        <w:t xml:space="preserve">“this is where the control is</w:t>
      </w:r>
      <w:r>
        <w:t xml:space="preserve"> </w:t>
      </w:r>
      <w:r>
        <w:rPr>
          <w:i/>
          <w:iCs/>
        </w:rPr>
        <w:t xml:space="preserve">made operational and</w:t>
      </w:r>
      <w:r>
        <w:rPr>
          <w:i/>
          <w:iCs/>
        </w:rPr>
        <w:t xml:space="preserve"> </w:t>
      </w:r>
      <w:r>
        <w:rPr>
          <w:i/>
          <w:iCs/>
        </w:rPr>
        <w:t xml:space="preserve">evidenced</w:t>
      </w:r>
      <w:r>
        <w:t xml:space="preserve">,”</w:t>
      </w:r>
      <w:r>
        <w:t xml:space="preserve"> </w:t>
      </w:r>
      <w:r>
        <w:t xml:space="preserve">not a second independent closure claim. Actuation stays</w:t>
      </w:r>
      <w:r>
        <w:t xml:space="preserve"> </w:t>
      </w:r>
      <w:r>
        <w:t xml:space="preserve">platform-native throughout.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Relationship to the compliance spine: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 </w:t>
      </w:r>
      <w:r>
        <w:t xml:space="preserve">is the</w:t>
      </w:r>
      <w:r>
        <w:t xml:space="preserve"> </w:t>
      </w:r>
      <w:r>
        <w:t xml:space="preserve">single source of truth for the machine-checked closures, and the per-book</w:t>
      </w:r>
      <w:r>
        <w:t xml:space="preserve"> </w:t>
      </w:r>
      <w:r>
        <w:t xml:space="preserve">authorities tables are rendered from it and CI-gated against drift. The spine is</w:t>
      </w:r>
      <w:r>
        <w:t xml:space="preserve"> </w:t>
      </w:r>
      <w:r>
        <w:t xml:space="preserve">being progressively back-filled book by book (~21 of 72 books carry closure rows</w:t>
      </w:r>
      <w:r>
        <w:t xml:space="preserve"> </w:t>
      </w:r>
      <w:r>
        <w:t xml:space="preserve">today). A</w:t>
      </w:r>
      <w:r>
        <w:t xml:space="preserve"> </w:t>
      </w:r>
      <w:r>
        <w:rPr>
          <w:b/>
          <w:bCs/>
        </w:rPr>
        <w:t xml:space="preserve">machine-derived slice of this crosswalk is now rendered from the spine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render_crosswalk.py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Compliance_Spine_Crosswalk.md</w:t>
      </w:r>
      <w:r>
        <w:t xml:space="preserve">,</w:t>
      </w:r>
      <w:r>
        <w:t xml:space="preserve"> </w:t>
      </w:r>
      <w:r>
        <w:t xml:space="preserve">behind the same drift gate as the per-book tables — so the spine-provable subset</w:t>
      </w:r>
      <w:r>
        <w:t xml:space="preserve"> </w:t>
      </w:r>
      <w:r>
        <w:t xml:space="preserve">is auto-generated and cannot drift.</w:t>
      </w:r>
      <w:r>
        <w:t xml:space="preserve"> </w:t>
      </w:r>
      <w:r>
        <w:rPr>
          <w:b/>
          <w:bCs/>
        </w:rPr>
        <w:t xml:space="preserve">This master crosswalk remains</w:t>
      </w:r>
      <w:r>
        <w:rPr>
          <w:b/>
          <w:bCs/>
        </w:rPr>
        <w:t xml:space="preserve"> </w:t>
      </w:r>
      <w:r>
        <w:rPr>
          <w:b/>
          <w:bCs/>
        </w:rPr>
        <w:t xml:space="preserve">hand-maintained</w:t>
      </w:r>
      <w:r>
        <w:t xml:space="preserve"> </w:t>
      </w:r>
      <w:r>
        <w:t xml:space="preserve">for the controls in books the spine has not yet back-filled, so</w:t>
      </w:r>
      <w:r>
        <w:t xml:space="preserve"> </w:t>
      </w:r>
      <w:r>
        <w:t xml:space="preserve">it, not the generated slice, is presently the most complete series-wide control</w:t>
      </w:r>
      <w:r>
        <w:t xml:space="preserve"> </w:t>
      </w:r>
      <w:r>
        <w:t xml:space="preserve">view, at the cost of being author-maintained for that remainder. The end state is</w:t>
      </w:r>
      <w:r>
        <w:t xml:space="preserve"> </w:t>
      </w:r>
      <w:r>
        <w:t xml:space="preserve">for the generated slice to reach every book and this table to become fully</w:t>
      </w:r>
      <w:r>
        <w:t xml:space="preserve"> </w:t>
      </w:r>
      <w:r>
        <w:t xml:space="preserve">spine-rendered.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Claim → evidence → test.</w:t>
      </w:r>
      <w:r>
        <w:t xml:space="preserve"> </w:t>
      </w:r>
      <w:r>
        <w:t xml:space="preserve">For the closure-bearing books, the spine now</w:t>
      </w:r>
      <w:r>
        <w:t xml:space="preserve"> </w:t>
      </w:r>
      <w:r>
        <w:t xml:space="preserve">renders a generated, CI-gated claim → evidence → test traceability</w:t>
      </w:r>
      <w:r>
        <w:t xml:space="preserve"> </w:t>
      </w:r>
      <w:r>
        <w:t xml:space="preserve">matrix: each of the 106 closure claims maps</w:t>
      </w:r>
      <w:r>
        <w:t xml:space="preserve"> </w:t>
      </w:r>
      <w:r>
        <w:t xml:space="preserve">to its evidence slot, its implementing kit (where one exists), and the named</w:t>
      </w:r>
      <w:r>
        <w:t xml:space="preserve"> </w:t>
      </w:r>
      <w:r>
        <w:t xml:space="preserve">falsifying test that would disprove it. It states the coverage honestly — the</w:t>
      </w:r>
      <w:r>
        <w:t xml:space="preserve"> </w:t>
      </w:r>
      <w:r>
        <w:t xml:space="preserve">spine’s generated closures cover</w:t>
      </w:r>
      <w:r>
        <w:t xml:space="preserve"> </w:t>
      </w:r>
      <w:r>
        <w:rPr>
          <w:b/>
          <w:bCs/>
        </w:rPr>
        <w:t xml:space="preserve">21 of 72 books</w:t>
      </w:r>
      <w:r>
        <w:t xml:space="preserve">, and only</w:t>
      </w:r>
      <w:r>
        <w:t xml:space="preserve"> </w:t>
      </w:r>
      <w:r>
        <w:rPr>
          <w:b/>
          <w:bCs/>
        </w:rPr>
        <w:t xml:space="preserve">13 of 106</w:t>
      </w:r>
      <w:r>
        <w:t xml:space="preserve"> </w:t>
      </w:r>
      <w:r>
        <w:t xml:space="preserve">claims yet carry a named test — so a reader can see exactly which claims are</w:t>
      </w:r>
      <w:r>
        <w:t xml:space="preserve"> </w:t>
      </w:r>
      <w:r>
        <w:t xml:space="preserve">verified, which are merely asserted, and which controls are hand-authored</w:t>
      </w:r>
      <w:r>
        <w:t xml:space="preserve"> </w:t>
      </w:r>
      <w:r>
        <w:t xml:space="preserve">outside the spine.</w:t>
      </w:r>
    </w:p>
    <w:p>
      <w:pPr>
        <w:pStyle w:val="FirstParagraph"/>
      </w:pPr>
      <w:r>
        <w:t xml:space="preserve">“Addressed here”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coverage pointer, not a control-inheritance claim</w:t>
      </w:r>
      <w:r>
        <w:t xml:space="preserve">. Whether</w:t>
      </w:r>
      <w:r>
        <w:t xml:space="preserve"> </w:t>
      </w:r>
      <w:r>
        <w:t xml:space="preserve">a control is fully inherited, partially satisfied, or shared depends on the boundary</w:t>
      </w:r>
      <w:r>
        <w:t xml:space="preserve"> </w:t>
      </w:r>
      <w:r>
        <w:t xml:space="preserve">and the assessor’s determination — read the named book (and its evidence slot) for</w:t>
      </w:r>
      <w:r>
        <w:t xml:space="preserve"> </w:t>
      </w:r>
      <w:r>
        <w:t xml:space="preserve">the substantive treatment.</w:t>
      </w:r>
    </w:p>
    <w:bookmarkEnd w:id="12"/>
    <w:bookmarkStart w:id="13" w:name="master-control-crosswalk"/>
    <w:p>
      <w:pPr>
        <w:pStyle w:val="Heading1"/>
      </w:pPr>
      <w:r>
        <w:t xml:space="preserve">3. Master Control Crosswalk</w:t>
      </w:r>
    </w:p>
    <w:p>
      <w:pPr>
        <w:pStyle w:val="FirstParagraph"/>
      </w:pPr>
      <w:r>
        <w:t xml:space="preserve">Each NIST SP 800-53 Rev 5 control below is followed by the volume(s) and book(s) where the series addresses it. A control addressed in more than one book lists each — typically the architecture book that closes it, the Volume VI book that implements it as deployable code, and (for the coordination controls) the Volume VII/VIII/IX book that operates and evidences it through ServiceNow or the multi-cloud DDI plane. Control enhancements are listed as their own rows where a book cites the enhancement specifically.</w:t>
      </w:r>
    </w:p>
    <w:p>
      <w:pPr>
        <w:pStyle w:val="TableCaption"/>
      </w:pPr>
      <w:r>
        <w:t xml:space="preserve">Master NIST SP 800-53 Rev 5 control crosswalk — where each control is addressed across the series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Master NIST SP 800-53 Rev 5 control crosswalk — where each control is addressed across the series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Where addressed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04, Vol II Bk 01, Vol VI Bk 02, Vol VI Bk 03, Vol VII Bk 02, Vol IX Bk 01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AC-2(1)</w:t>
            </w:r>
          </w:p>
        </w:tc>
        <w:tc>
          <w:tcPr/>
          <w:p>
            <w:pPr>
              <w:pStyle w:val="Compact"/>
            </w:pPr>
            <w:r>
              <w:t xml:space="preserve">Account Management — Automated System Account Management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AC-2(3)</w:t>
            </w:r>
          </w:p>
        </w:tc>
        <w:tc>
          <w:tcPr/>
          <w:p>
            <w:pPr>
              <w:pStyle w:val="Compact"/>
            </w:pPr>
            <w:r>
              <w:t xml:space="preserve">Account Management — Disable Accounts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IX Bk 05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AC-2(4)</w:t>
            </w:r>
          </w:p>
        </w:tc>
        <w:tc>
          <w:tcPr/>
          <w:p>
            <w:pPr>
              <w:pStyle w:val="Compact"/>
            </w:pPr>
            <w:r>
              <w:t xml:space="preserve">Account Management — Automated Audit Actions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IX Bk 05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AC-2(13)</w:t>
            </w:r>
          </w:p>
        </w:tc>
        <w:tc>
          <w:tcPr/>
          <w:p>
            <w:pPr>
              <w:pStyle w:val="Compact"/>
            </w:pPr>
            <w:r>
              <w:t xml:space="preserve">Account Management — Disable Accounts for High-Risk Individuals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VI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AC-3</w:t>
            </w:r>
          </w:p>
        </w:tc>
        <w:tc>
          <w:tcPr/>
          <w:p>
            <w:pPr>
              <w:pStyle w:val="Compact"/>
            </w:pPr>
            <w:r>
              <w:t xml:space="preserve">Access Enforcement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02, Vol 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AC-4</w:t>
            </w:r>
          </w:p>
        </w:tc>
        <w:tc>
          <w:tcPr/>
          <w:p>
            <w:pPr>
              <w:pStyle w:val="Compact"/>
            </w:pPr>
            <w:r>
              <w:t xml:space="preserve">Information Flow Enforcement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 Bk 07, Vol III Bk 05, Vol VI Bk 01, Vol VI Bk 03, Vol VI Bk 05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AC-5</w:t>
            </w:r>
          </w:p>
        </w:tc>
        <w:tc>
          <w:tcPr/>
          <w:p>
            <w:pPr>
              <w:pStyle w:val="Compact"/>
            </w:pPr>
            <w:r>
              <w:t xml:space="preserve">Separation of Duties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02, Vol IX Bk 01, Vol IX Bk 03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AC-6(1)</w:t>
            </w:r>
          </w:p>
        </w:tc>
        <w:tc>
          <w:tcPr/>
          <w:p>
            <w:pPr>
              <w:pStyle w:val="Compact"/>
            </w:pPr>
            <w:r>
              <w:t xml:space="preserve">Least Privilege — Authorize Access to Security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AC-6(2)</w:t>
            </w:r>
          </w:p>
        </w:tc>
        <w:tc>
          <w:tcPr/>
          <w:p>
            <w:pPr>
              <w:pStyle w:val="Compact"/>
            </w:pPr>
            <w:r>
              <w:t xml:space="preserve">Least Privilege — Non-Privileged Access for Nonsecurity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AC-6(5)</w:t>
            </w:r>
          </w:p>
        </w:tc>
        <w:tc>
          <w:tcPr/>
          <w:p>
            <w:pPr>
              <w:pStyle w:val="Compact"/>
            </w:pPr>
            <w:r>
              <w:t xml:space="preserve">Least Privilege — Privileged Accounts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AC-6(9)</w:t>
            </w:r>
          </w:p>
        </w:tc>
        <w:tc>
          <w:tcPr/>
          <w:p>
            <w:pPr>
              <w:pStyle w:val="Compact"/>
            </w:pPr>
            <w:r>
              <w:t xml:space="preserve">Least Privilege — Log Use of Privileged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AC-6(10)</w:t>
            </w:r>
          </w:p>
        </w:tc>
        <w:tc>
          <w:tcPr/>
          <w:p>
            <w:pPr>
              <w:pStyle w:val="Compact"/>
            </w:pPr>
            <w:r>
              <w:t xml:space="preserve">Least Privilege — Prohibit Non-Privileged Users from Executing Privileged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AC-7</w:t>
            </w:r>
          </w:p>
        </w:tc>
        <w:tc>
          <w:tcPr/>
          <w:p>
            <w:pPr>
              <w:pStyle w:val="Compact"/>
            </w:pPr>
            <w:r>
              <w:t xml:space="preserve">Unsuccessful Logon Attempts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VI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AC-11</w:t>
            </w:r>
          </w:p>
        </w:tc>
        <w:tc>
          <w:tcPr/>
          <w:p>
            <w:pPr>
              <w:pStyle w:val="Compact"/>
            </w:pPr>
            <w:r>
              <w:t xml:space="preserve">Device Lock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AC-12</w:t>
            </w:r>
          </w:p>
        </w:tc>
        <w:tc>
          <w:tcPr/>
          <w:p>
            <w:pPr>
              <w:pStyle w:val="Compact"/>
            </w:pPr>
            <w:r>
              <w:t xml:space="preserve">Session Termination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03, Vol VI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AC-17</w:t>
            </w:r>
          </w:p>
        </w:tc>
        <w:tc>
          <w:tcPr/>
          <w:p>
            <w:pPr>
              <w:pStyle w:val="Compact"/>
            </w:pPr>
            <w:r>
              <w:t xml:space="preserve">Remote Access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02, Vol I Bk 07, Vol II Bk 01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AC-19</w:t>
            </w:r>
          </w:p>
        </w:tc>
        <w:tc>
          <w:tcPr/>
          <w:p>
            <w:pPr>
              <w:pStyle w:val="Compact"/>
            </w:pPr>
            <w:r>
              <w:t xml:space="preserve">Access Control for Mobile Devices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02, Vol I Bk 07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AC-20</w:t>
            </w:r>
          </w:p>
        </w:tc>
        <w:tc>
          <w:tcPr/>
          <w:p>
            <w:pPr>
              <w:pStyle w:val="Compact"/>
            </w:pPr>
            <w:r>
              <w:t xml:space="preserve">Use of External Systems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 Bk 02, Vol IX Bk 05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AT-2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05, Vol V Bk 01, Vol V Bk 02, Vol V Bk 03</w:t>
            </w:r>
          </w:p>
        </w:tc>
        <w:tc>
          <w:tcPr/>
          <w:p>
            <w:pPr>
              <w:pStyle w:val="Compact"/>
            </w:pPr>
            <w:r>
              <w:t xml:space="preserve">KSI-022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AT-2(1)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 — Practical Exercises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AT-2(2)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 — Insider Threat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AT-3</w:t>
            </w:r>
          </w:p>
        </w:tc>
        <w:tc>
          <w:tcPr/>
          <w:p>
            <w:pPr>
              <w:pStyle w:val="Compact"/>
            </w:pPr>
            <w:r>
              <w:t xml:space="preserve">Role-based Training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05, Vol V Bk 01, Vol V Bk 02, Vol V Bk 03</w:t>
            </w:r>
          </w:p>
        </w:tc>
        <w:tc>
          <w:tcPr/>
          <w:p>
            <w:pPr>
              <w:pStyle w:val="Compact"/>
            </w:pPr>
            <w:r>
              <w:t xml:space="preserve">KSI-022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AT-3(3)</w:t>
            </w:r>
          </w:p>
        </w:tc>
        <w:tc>
          <w:tcPr/>
          <w:p>
            <w:pPr>
              <w:pStyle w:val="Compact"/>
            </w:pPr>
            <w:r>
              <w:t xml:space="preserve">Role-based Training — Practical Exercises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AT-3(5)</w:t>
            </w:r>
          </w:p>
        </w:tc>
        <w:tc>
          <w:tcPr/>
          <w:p>
            <w:pPr>
              <w:pStyle w:val="Compact"/>
            </w:pPr>
            <w:r>
              <w:t xml:space="preserve">Role-based Training — Processing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AT-4</w:t>
            </w:r>
          </w:p>
        </w:tc>
        <w:tc>
          <w:tcPr/>
          <w:p>
            <w:pPr>
              <w:pStyle w:val="Compact"/>
            </w:pPr>
            <w:r>
              <w:t xml:space="preserve">Training Records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KSI-022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AU-2</w:t>
            </w:r>
          </w:p>
        </w:tc>
        <w:tc>
          <w:tcPr/>
          <w:p>
            <w:pPr>
              <w:pStyle w:val="Compact"/>
            </w:pPr>
            <w:r>
              <w:t xml:space="preserve">Event Logging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II Bk 01, Vol VIII Bk 07, Vol IX Bk 04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AU-3</w:t>
            </w:r>
          </w:p>
        </w:tc>
        <w:tc>
          <w:tcPr/>
          <w:p>
            <w:pPr>
              <w:pStyle w:val="Compact"/>
            </w:pPr>
            <w:r>
              <w:t xml:space="preserve">Content of Audit Records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07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AU-6</w:t>
            </w:r>
          </w:p>
        </w:tc>
        <w:tc>
          <w:tcPr/>
          <w:p>
            <w:pPr>
              <w:pStyle w:val="Compact"/>
            </w:pPr>
            <w:r>
              <w:t xml:space="preserve">Audit Record Review, Analysis, and Reporting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06, Vol VI Bk 03, Vol VI Bk 07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AU-6(1)</w:t>
            </w:r>
          </w:p>
        </w:tc>
        <w:tc>
          <w:tcPr/>
          <w:p>
            <w:pPr>
              <w:pStyle w:val="Compact"/>
            </w:pPr>
            <w:r>
              <w:t xml:space="preserve">Automated Process Integration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06, Vol III Bk 07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AU-6(4)</w:t>
            </w:r>
          </w:p>
        </w:tc>
        <w:tc>
          <w:tcPr/>
          <w:p>
            <w:pPr>
              <w:pStyle w:val="Compact"/>
            </w:pPr>
            <w:r>
              <w:t xml:space="preserve">Central Review and Analysis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AU-7</w:t>
            </w:r>
          </w:p>
        </w:tc>
        <w:tc>
          <w:tcPr/>
          <w:p>
            <w:pPr>
              <w:pStyle w:val="Compact"/>
            </w:pPr>
            <w:r>
              <w:t xml:space="preserve">Audit Record Reduction and Report Generation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AU-8</w:t>
            </w:r>
          </w:p>
        </w:tc>
        <w:tc>
          <w:tcPr/>
          <w:p>
            <w:pPr>
              <w:pStyle w:val="Compact"/>
            </w:pPr>
            <w:r>
              <w:t xml:space="preserve">Time Stamps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AU-9</w:t>
            </w:r>
          </w:p>
        </w:tc>
        <w:tc>
          <w:tcPr/>
          <w:p>
            <w:pPr>
              <w:pStyle w:val="Compact"/>
            </w:pPr>
            <w:r>
              <w:t xml:space="preserve">Protection of Audit Information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AU-10</w:t>
            </w:r>
          </w:p>
        </w:tc>
        <w:tc>
          <w:tcPr/>
          <w:p>
            <w:pPr>
              <w:pStyle w:val="Compact"/>
            </w:pPr>
            <w:r>
              <w:t xml:space="preserve">Non-repudiation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AU-11</w:t>
            </w:r>
          </w:p>
        </w:tc>
        <w:tc>
          <w:tcPr/>
          <w:p>
            <w:pPr>
              <w:pStyle w:val="Compact"/>
            </w:pPr>
            <w:r>
              <w:t xml:space="preserve">Audit Record Retention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AU-12</w:t>
            </w:r>
          </w:p>
        </w:tc>
        <w:tc>
          <w:tcPr/>
          <w:p>
            <w:pPr>
              <w:pStyle w:val="Compact"/>
            </w:pPr>
            <w:r>
              <w:t xml:space="preserve">Audit Record Generation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II Bk 01, Vol III Bk 07, Vol VI Bk 07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AU-12(1)</w:t>
            </w:r>
          </w:p>
        </w:tc>
        <w:tc>
          <w:tcPr/>
          <w:p>
            <w:pPr>
              <w:pStyle w:val="Compact"/>
            </w:pPr>
            <w:r>
              <w:t xml:space="preserve">System-wide and Time-correlated Audit Trail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07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CA-2</w:t>
            </w:r>
          </w:p>
        </w:tc>
        <w:tc>
          <w:tcPr/>
          <w:p>
            <w:pPr>
              <w:pStyle w:val="Compact"/>
            </w:pPr>
            <w:r>
              <w:t xml:space="preserve">Control Assessments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06, Vol VI Bk 08, Vol VII Bk 04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CA-3</w:t>
            </w:r>
          </w:p>
        </w:tc>
        <w:tc>
          <w:tcPr/>
          <w:p>
            <w:pPr>
              <w:pStyle w:val="Compact"/>
            </w:pPr>
            <w:r>
              <w:t xml:space="preserve">Information Exchange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II Bk 03, Vol IX Bk 05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CA-5</w:t>
            </w:r>
          </w:p>
        </w:tc>
        <w:tc>
          <w:tcPr/>
          <w:p>
            <w:pPr>
              <w:pStyle w:val="Compact"/>
            </w:pPr>
            <w:r>
              <w:t xml:space="preserve">Plan of Action and Milestones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06, Vol VI Bk 07, Vol VII Bk 04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CA-6</w:t>
            </w:r>
          </w:p>
        </w:tc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CA-7</w:t>
            </w:r>
          </w:p>
        </w:tc>
        <w:tc>
          <w:tcPr/>
          <w:p>
            <w:pPr>
              <w:pStyle w:val="Compact"/>
            </w:pPr>
            <w:r>
              <w:t xml:space="preserve">Continuous Monitoring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 Bk 05, Vol I Bk 06, Vol II Bk 01, Vol III Bk 07, Vol IV Bk 06, Vol VI Bk 07, Vol VI Bk 08, Vol VII Bk 02, Vol VII Bk 04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CA-7(1)</w:t>
            </w:r>
          </w:p>
        </w:tc>
        <w:tc>
          <w:tcPr/>
          <w:p>
            <w:pPr>
              <w:pStyle w:val="Compact"/>
            </w:pPr>
            <w:r>
              <w:t xml:space="preserve">Continuous Monitoring — Independent Assessment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CA-7(3)</w:t>
            </w:r>
          </w:p>
        </w:tc>
        <w:tc>
          <w:tcPr/>
          <w:p>
            <w:pPr>
              <w:pStyle w:val="Compact"/>
            </w:pPr>
            <w:r>
              <w:t xml:space="preserve">Continuous Monitoring — Trend Analyses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CM-2</w:t>
            </w:r>
          </w:p>
        </w:tc>
        <w:tc>
          <w:tcPr/>
          <w:p>
            <w:pPr>
              <w:pStyle w:val="Compact"/>
            </w:pPr>
            <w:r>
              <w:t xml:space="preserve">Baseline Configuration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 Bk 01, Vol II Bk 01, Vol III Bk 03, Vol VI Bk 00, Vol VI Bk 06, Vol IX Bk 02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VI Bk 00, Vol VI Bk 06, Vol VII Bk 01, Vol VIII Bk 07, Vol IX Bk 02, Vol IX Bk 04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CM-5</w:t>
            </w:r>
          </w:p>
        </w:tc>
        <w:tc>
          <w:tcPr/>
          <w:p>
            <w:pPr>
              <w:pStyle w:val="Compact"/>
            </w:pPr>
            <w:r>
              <w:t xml:space="preserve">Access Restrictions for Change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VIII Bk 07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CM-6</w:t>
            </w:r>
          </w:p>
        </w:tc>
        <w:tc>
          <w:tcPr/>
          <w:p>
            <w:pPr>
              <w:pStyle w:val="Compact"/>
            </w:pPr>
            <w:r>
              <w:t xml:space="preserve">Configuration Settings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 Bk 02, Vol III Bk 03, Vol III Bk 04, Vol VI Bk 06, Vol VII Bk 02, Vol VII Bk 03, Vol IX Bk 04</w:t>
            </w:r>
          </w:p>
        </w:tc>
        <w:tc>
          <w:tcPr/>
          <w:p>
            <w:pPr>
              <w:pStyle w:val="Compact"/>
            </w:pPr>
            <w:r>
              <w:t xml:space="preserve">KSI-CMT, 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CM-7</w:t>
            </w:r>
          </w:p>
        </w:tc>
        <w:tc>
          <w:tcPr/>
          <w:p>
            <w:pPr>
              <w:pStyle w:val="Compact"/>
            </w:pPr>
            <w:r>
              <w:t xml:space="preserve">Least Functionality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 Bk 02, Vol III Bk 02, Vol III Bk 04, Vol VI Bk 06</w:t>
            </w:r>
          </w:p>
        </w:tc>
        <w:tc>
          <w:tcPr/>
          <w:p>
            <w:pPr>
              <w:pStyle w:val="Compact"/>
            </w:pPr>
            <w:r>
              <w:t xml:space="preserve">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CM-7(1)</w:t>
            </w:r>
          </w:p>
        </w:tc>
        <w:tc>
          <w:tcPr/>
          <w:p>
            <w:pPr>
              <w:pStyle w:val="Compact"/>
            </w:pPr>
            <w:r>
              <w:t xml:space="preserve">Least Functionality — Periodic Review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CM-8</w:t>
            </w:r>
          </w:p>
        </w:tc>
        <w:tc>
          <w:tcPr/>
          <w:p>
            <w:pPr>
              <w:pStyle w:val="Compact"/>
            </w:pPr>
            <w:r>
              <w:t xml:space="preserve">System Component Inventory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02, Vol II Bk 01, Vol III Bk 03, Vol VI Bk 01, Vol VII Bk 01, Vol VIII Bk 06, Vol IX Bk 02</w:t>
            </w:r>
          </w:p>
        </w:tc>
        <w:tc>
          <w:tcPr/>
          <w:p>
            <w:pPr>
              <w:pStyle w:val="Compact"/>
            </w:pPr>
            <w:r>
              <w:t xml:space="preserve">KSI-CMT, KSI-PIY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CP-2</w:t>
            </w:r>
          </w:p>
        </w:tc>
        <w:tc>
          <w:tcPr/>
          <w:p>
            <w:pPr>
              <w:pStyle w:val="Compact"/>
            </w:pPr>
            <w:r>
              <w:t xml:space="preserve">Contingency Plan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CP-2(1)</w:t>
            </w:r>
          </w:p>
        </w:tc>
        <w:tc>
          <w:tcPr/>
          <w:p>
            <w:pPr>
              <w:pStyle w:val="Compact"/>
            </w:pPr>
            <w:r>
              <w:t xml:space="preserve">Coordinate with Related Plans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CP-2(8)</w:t>
            </w:r>
          </w:p>
        </w:tc>
        <w:tc>
          <w:tcPr/>
          <w:p>
            <w:pPr>
              <w:pStyle w:val="Compact"/>
            </w:pPr>
            <w:r>
              <w:t xml:space="preserve">Identify Critical Assets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CP-3</w:t>
            </w:r>
          </w:p>
        </w:tc>
        <w:tc>
          <w:tcPr/>
          <w:p>
            <w:pPr>
              <w:pStyle w:val="Compact"/>
            </w:pPr>
            <w:r>
              <w:t xml:space="preserve">Contingency Training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01, Vol IV Bk 05</w:t>
            </w:r>
          </w:p>
        </w:tc>
        <w:tc>
          <w:tcPr/>
          <w:p>
            <w:pPr>
              <w:pStyle w:val="Compact"/>
            </w:pPr>
            <w:r>
              <w:t xml:space="preserve">KSI-022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CP-4</w:t>
            </w:r>
          </w:p>
        </w:tc>
        <w:tc>
          <w:tcPr/>
          <w:p>
            <w:pPr>
              <w:pStyle w:val="Compact"/>
            </w:pPr>
            <w:r>
              <w:t xml:space="preserve">Contingency Plan Testing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CP-4(1)</w:t>
            </w:r>
          </w:p>
        </w:tc>
        <w:tc>
          <w:tcPr/>
          <w:p>
            <w:pPr>
              <w:pStyle w:val="Compact"/>
            </w:pPr>
            <w:r>
              <w:t xml:space="preserve">Coordinate with Related Plans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CP-6</w:t>
            </w:r>
          </w:p>
        </w:tc>
        <w:tc>
          <w:tcPr/>
          <w:p>
            <w:pPr>
              <w:pStyle w:val="Compact"/>
            </w:pPr>
            <w:r>
              <w:t xml:space="preserve">Alternate Storage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CP-6(1)</w:t>
            </w:r>
          </w:p>
        </w:tc>
        <w:tc>
          <w:tcPr/>
          <w:p>
            <w:pPr>
              <w:pStyle w:val="Compact"/>
            </w:pPr>
            <w:r>
              <w:t xml:space="preserve">Separation from Primary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CP-7</w:t>
            </w:r>
          </w:p>
        </w:tc>
        <w:tc>
          <w:tcPr/>
          <w:p>
            <w:pPr>
              <w:pStyle w:val="Compact"/>
            </w:pPr>
            <w:r>
              <w:t xml:space="preserve">Alternate Processing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CP-7(1)</w:t>
            </w:r>
          </w:p>
        </w:tc>
        <w:tc>
          <w:tcPr/>
          <w:p>
            <w:pPr>
              <w:pStyle w:val="Compact"/>
            </w:pPr>
            <w:r>
              <w:t xml:space="preserve">Separation from Primary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CP-7(3)</w:t>
            </w:r>
          </w:p>
        </w:tc>
        <w:tc>
          <w:tcPr/>
          <w:p>
            <w:pPr>
              <w:pStyle w:val="Compact"/>
            </w:pPr>
            <w:r>
              <w:t xml:space="preserve">Priority of Service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CP-8</w:t>
            </w:r>
          </w:p>
        </w:tc>
        <w:tc>
          <w:tcPr/>
          <w:p>
            <w:pPr>
              <w:pStyle w:val="Compact"/>
            </w:pPr>
            <w:r>
              <w:t xml:space="preserve">Telecommunications Services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CP-8(1)</w:t>
            </w:r>
          </w:p>
        </w:tc>
        <w:tc>
          <w:tcPr/>
          <w:p>
            <w:pPr>
              <w:pStyle w:val="Compact"/>
            </w:pPr>
            <w:r>
              <w:t xml:space="preserve">Priority of Service Provisions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CP-9</w:t>
            </w:r>
          </w:p>
        </w:tc>
        <w:tc>
          <w:tcPr/>
          <w:p>
            <w:pPr>
              <w:pStyle w:val="Compact"/>
            </w:pPr>
            <w:r>
              <w:t xml:space="preserve">System Backup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II Bk 03, 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CP-10</w:t>
            </w:r>
          </w:p>
        </w:tc>
        <w:tc>
          <w:tcPr/>
          <w:p>
            <w:pPr>
              <w:pStyle w:val="Compact"/>
            </w:pPr>
            <w:r>
              <w:t xml:space="preserve">System Recovery and Reconstitution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II Bk 03, Vol IV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IA-2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 (Organizational Users)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 Bk 01, Vol II Bk 02, Vol VI Bk 02, Vol VI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IA-2(1)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 (Organizational Users) — Multi-Factor Authentication to Privileged Accounts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IA-2(2)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 (Organizational Users) — Multi-Factor Authentication to Non-Privileged Accounts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IA-3</w:t>
            </w:r>
          </w:p>
        </w:tc>
        <w:tc>
          <w:tcPr/>
          <w:p>
            <w:pPr>
              <w:pStyle w:val="Compact"/>
            </w:pPr>
            <w:r>
              <w:t xml:space="preserve">Device Identification and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02, Vol I Bk 07, Vol II Bk 01, Vol VI Bk 02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IA-3(1)</w:t>
            </w:r>
          </w:p>
        </w:tc>
        <w:tc>
          <w:tcPr/>
          <w:p>
            <w:pPr>
              <w:pStyle w:val="Compact"/>
            </w:pPr>
            <w:r>
              <w:t xml:space="preserve">Device Identification and Authentication — Cryptographic Bidirectional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IA-4</w:t>
            </w:r>
          </w:p>
        </w:tc>
        <w:tc>
          <w:tcPr/>
          <w:p>
            <w:pPr>
              <w:pStyle w:val="Compact"/>
            </w:pPr>
            <w:r>
              <w:t xml:space="preserve">Identifier Management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Authenticator Management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 Bk 01, Vol VI Bk 02, Vol IX Bk 01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IA-5(1)</w:t>
            </w:r>
          </w:p>
        </w:tc>
        <w:tc>
          <w:tcPr/>
          <w:p>
            <w:pPr>
              <w:pStyle w:val="Compact"/>
            </w:pPr>
            <w:r>
              <w:t xml:space="preserve">Authenticator Management — Password-Based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IA-5(2)</w:t>
            </w:r>
          </w:p>
        </w:tc>
        <w:tc>
          <w:tcPr/>
          <w:p>
            <w:pPr>
              <w:pStyle w:val="Compact"/>
            </w:pPr>
            <w:r>
              <w:t xml:space="preserve">Authenticator Management — Public Key-Based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03, Vol IX Bk 03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IA-9</w:t>
            </w:r>
          </w:p>
        </w:tc>
        <w:tc>
          <w:tcPr/>
          <w:p>
            <w:pPr>
              <w:pStyle w:val="Compact"/>
            </w:pPr>
            <w:r>
              <w:t xml:space="preserve">Service Identification and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IA-11</w:t>
            </w:r>
          </w:p>
        </w:tc>
        <w:tc>
          <w:tcPr/>
          <w:p>
            <w:pPr>
              <w:pStyle w:val="Compact"/>
            </w:pPr>
            <w:r>
              <w:t xml:space="preserve">Re-Authentication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IR-2</w:t>
            </w:r>
          </w:p>
        </w:tc>
        <w:tc>
          <w:tcPr/>
          <w:p>
            <w:pPr>
              <w:pStyle w:val="Compact"/>
            </w:pPr>
            <w:r>
              <w:t xml:space="preserve">Incident Response Training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  <w:tc>
          <w:tcPr/>
          <w:p>
            <w:pPr>
              <w:pStyle w:val="Compact"/>
            </w:pPr>
            <w:r>
              <w:t xml:space="preserve">KSI-022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IR-4</w:t>
            </w:r>
          </w:p>
        </w:tc>
        <w:tc>
          <w:tcPr/>
          <w:p>
            <w:pPr>
              <w:pStyle w:val="Compact"/>
            </w:pPr>
            <w:r>
              <w:t xml:space="preserve">Incident Handling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 Bk 01, Vol III Bk 06, Vol VI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IR-6</w:t>
            </w:r>
          </w:p>
        </w:tc>
        <w:tc>
          <w:tcPr/>
          <w:p>
            <w:pPr>
              <w:pStyle w:val="Compact"/>
            </w:pPr>
            <w:r>
              <w:t xml:space="preserve">Incident Reporting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III Bk 06, Vol VI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IR-8</w:t>
            </w:r>
          </w:p>
        </w:tc>
        <w:tc>
          <w:tcPr/>
          <w:p>
            <w:pPr>
              <w:pStyle w:val="Compact"/>
            </w:pPr>
            <w:r>
              <w:t xml:space="preserve">Incident Response Plan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MP-2</w:t>
            </w:r>
          </w:p>
        </w:tc>
        <w:tc>
          <w:tcPr/>
          <w:p>
            <w:pPr>
              <w:pStyle w:val="Compact"/>
            </w:pPr>
            <w:r>
              <w:t xml:space="preserve">Media Access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MP-3</w:t>
            </w:r>
          </w:p>
        </w:tc>
        <w:tc>
          <w:tcPr/>
          <w:p>
            <w:pPr>
              <w:pStyle w:val="Compact"/>
            </w:pPr>
            <w:r>
              <w:t xml:space="preserve">Media Marking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MP-4</w:t>
            </w:r>
          </w:p>
        </w:tc>
        <w:tc>
          <w:tcPr/>
          <w:p>
            <w:pPr>
              <w:pStyle w:val="Compact"/>
            </w:pPr>
            <w:r>
              <w:t xml:space="preserve">Media Storage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MP-5</w:t>
            </w:r>
          </w:p>
        </w:tc>
        <w:tc>
          <w:tcPr/>
          <w:p>
            <w:pPr>
              <w:pStyle w:val="Compact"/>
            </w:pPr>
            <w:r>
              <w:t xml:space="preserve">Media Transport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PL-8</w:t>
            </w:r>
          </w:p>
        </w:tc>
        <w:tc>
          <w:tcPr/>
          <w:p>
            <w:pPr>
              <w:pStyle w:val="Compact"/>
            </w:pPr>
            <w:r>
              <w:t xml:space="preserve">Security and Privacy Architectures</w:t>
            </w:r>
          </w:p>
        </w:tc>
        <w:tc>
          <w:tcPr/>
          <w:p>
            <w:pPr>
              <w:pStyle w:val="Compact"/>
            </w:pPr>
            <w:r>
              <w:t xml:space="preserve">PL</w:t>
            </w:r>
          </w:p>
        </w:tc>
        <w:tc>
          <w:tcPr/>
          <w:p>
            <w:pPr>
              <w:pStyle w:val="Compact"/>
            </w:pPr>
            <w:r>
              <w:t xml:space="preserve">Vol 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PM-1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Plan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PM-2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Leadership Role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PM-5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PM-7</w:t>
            </w:r>
          </w:p>
        </w:tc>
        <w:tc>
          <w:tcPr/>
          <w:p>
            <w:pPr>
              <w:pStyle w:val="Compact"/>
            </w:pPr>
            <w:r>
              <w:t xml:space="preserve">Enterprise Architecture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PM-9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PM-11</w:t>
            </w:r>
          </w:p>
        </w:tc>
        <w:tc>
          <w:tcPr/>
          <w:p>
            <w:pPr>
              <w:pStyle w:val="Compact"/>
            </w:pPr>
            <w:r>
              <w:t xml:space="preserve">Mission and Business Process Definition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PM-14</w:t>
            </w:r>
          </w:p>
        </w:tc>
        <w:tc>
          <w:tcPr/>
          <w:p>
            <w:pPr>
              <w:pStyle w:val="Compact"/>
            </w:pPr>
            <w:r>
              <w:t xml:space="preserve">Testing, Training, and Monitoring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PM-15</w:t>
            </w:r>
          </w:p>
        </w:tc>
        <w:tc>
          <w:tcPr/>
          <w:p>
            <w:pPr>
              <w:pStyle w:val="Compact"/>
            </w:pPr>
            <w:r>
              <w:t xml:space="preserve">Security and Privacy Groups and Associations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PM-30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PS-4</w:t>
            </w:r>
          </w:p>
        </w:tc>
        <w:tc>
          <w:tcPr/>
          <w:p>
            <w:pPr>
              <w:pStyle w:val="Compact"/>
            </w:pPr>
            <w:r>
              <w:t xml:space="preserve">Personnel Termination</w:t>
            </w:r>
          </w:p>
        </w:tc>
        <w:tc>
          <w:tcPr/>
          <w:p>
            <w:pPr>
              <w:pStyle w:val="Compact"/>
            </w:pPr>
            <w:r>
              <w:t xml:space="preserve">PS</w:t>
            </w:r>
          </w:p>
        </w:tc>
        <w:tc>
          <w:tcPr/>
          <w:p>
            <w:pPr>
              <w:pStyle w:val="Compact"/>
            </w:pPr>
            <w:r>
              <w:t xml:space="preserve">Vol 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PS-5</w:t>
            </w:r>
          </w:p>
        </w:tc>
        <w:tc>
          <w:tcPr/>
          <w:p>
            <w:pPr>
              <w:pStyle w:val="Compact"/>
            </w:pPr>
            <w:r>
              <w:t xml:space="preserve">Personnel Transfer</w:t>
            </w:r>
          </w:p>
        </w:tc>
        <w:tc>
          <w:tcPr/>
          <w:p>
            <w:pPr>
              <w:pStyle w:val="Compact"/>
            </w:pPr>
            <w:r>
              <w:t xml:space="preserve">PS</w:t>
            </w:r>
          </w:p>
        </w:tc>
        <w:tc>
          <w:tcPr/>
          <w:p>
            <w:pPr>
              <w:pStyle w:val="Compact"/>
            </w:pPr>
            <w:r>
              <w:t xml:space="preserve">Vol I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PT-1</w:t>
            </w:r>
          </w:p>
        </w:tc>
        <w:tc>
          <w:tcPr/>
          <w:p>
            <w:pPr>
              <w:pStyle w:val="Compact"/>
            </w:pPr>
            <w:r>
              <w:t xml:space="preserve">Policy and Procedures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PT-2</w:t>
            </w:r>
          </w:p>
        </w:tc>
        <w:tc>
          <w:tcPr/>
          <w:p>
            <w:pPr>
              <w:pStyle w:val="Compact"/>
            </w:pPr>
            <w:r>
              <w:t xml:space="preserve">Authority to Process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PT-3</w:t>
            </w:r>
          </w:p>
        </w:tc>
        <w:tc>
          <w:tcPr/>
          <w:p>
            <w:pPr>
              <w:pStyle w:val="Compact"/>
            </w:pPr>
            <w:r>
              <w:t xml:space="preserve">Personally Identifiable Information Processing Purposes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PT-4</w:t>
            </w:r>
          </w:p>
        </w:tc>
        <w:tc>
          <w:tcPr/>
          <w:p>
            <w:pPr>
              <w:pStyle w:val="Compact"/>
            </w:pPr>
            <w:r>
              <w:t xml:space="preserve">Consent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PT-5</w:t>
            </w:r>
          </w:p>
        </w:tc>
        <w:tc>
          <w:tcPr/>
          <w:p>
            <w:pPr>
              <w:pStyle w:val="Compact"/>
            </w:pPr>
            <w:r>
              <w:t xml:space="preserve">Privacy Notice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PT-7</w:t>
            </w:r>
          </w:p>
        </w:tc>
        <w:tc>
          <w:tcPr/>
          <w:p>
            <w:pPr>
              <w:pStyle w:val="Compact"/>
            </w:pPr>
            <w:r>
              <w:t xml:space="preserve">Specific Categories of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RA-3</w:t>
            </w:r>
          </w:p>
        </w:tc>
        <w:tc>
          <w:tcPr/>
          <w:p>
            <w:pPr>
              <w:pStyle w:val="Compact"/>
            </w:pPr>
            <w:r>
              <w:t xml:space="preserve">Risk Assessment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RA-5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III Bk 02, Vol III Bk 04, Vol VII Bk 03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RA-5(2)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 — Update Vulnerabilities to Be Scanned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RA-5(5)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 — Privileged Access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SA-8</w:t>
            </w:r>
          </w:p>
        </w:tc>
        <w:tc>
          <w:tcPr/>
          <w:p>
            <w:pPr>
              <w:pStyle w:val="Compact"/>
            </w:pPr>
            <w:r>
              <w:t xml:space="preserve">Security and Privacy Engineering Principles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SA-9</w:t>
            </w:r>
          </w:p>
        </w:tc>
        <w:tc>
          <w:tcPr/>
          <w:p>
            <w:pPr>
              <w:pStyle w:val="Compact"/>
            </w:pPr>
            <w:r>
              <w:t xml:space="preserve">External System Services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06, Vol IX Bk 05 †</w:t>
            </w:r>
          </w:p>
        </w:tc>
        <w:tc>
          <w:tcPr/>
          <w:p>
            <w:pPr>
              <w:pStyle w:val="Compact"/>
            </w:pPr>
            <w:r>
              <w:t xml:space="preserve">KSI-SCR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SA-9(2)</w:t>
            </w:r>
          </w:p>
        </w:tc>
        <w:tc>
          <w:tcPr/>
          <w:p>
            <w:pPr>
              <w:pStyle w:val="Compact"/>
            </w:pPr>
            <w:r>
              <w:t xml:space="preserve">External System Services — Identification of Functions, Ports, Protocols, and Services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IX Bk 05</w:t>
            </w:r>
          </w:p>
        </w:tc>
        <w:tc>
          <w:tcPr/>
          <w:p>
            <w:pPr>
              <w:pStyle w:val="Compact"/>
            </w:pPr>
            <w:r>
              <w:t xml:space="preserve">KSI-SCR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SA-11</w:t>
            </w:r>
          </w:p>
        </w:tc>
        <w:tc>
          <w:tcPr/>
          <w:p>
            <w:pPr>
              <w:pStyle w:val="Compact"/>
            </w:pPr>
            <w:r>
              <w:t xml:space="preserve">Developer Testing and Evaluation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III Bk 04</w:t>
            </w:r>
          </w:p>
        </w:tc>
        <w:tc>
          <w:tcPr/>
          <w:p>
            <w:pPr>
              <w:pStyle w:val="Compact"/>
            </w:pPr>
            <w:r>
              <w:t xml:space="preserve">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SA-15</w:t>
            </w:r>
          </w:p>
        </w:tc>
        <w:tc>
          <w:tcPr/>
          <w:p>
            <w:pPr>
              <w:pStyle w:val="Compact"/>
            </w:pPr>
            <w:r>
              <w:t xml:space="preserve">Development Process, Standards, and Tools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SC-5</w:t>
            </w:r>
          </w:p>
        </w:tc>
        <w:tc>
          <w:tcPr/>
          <w:p>
            <w:pPr>
              <w:pStyle w:val="Compact"/>
            </w:pPr>
            <w:r>
              <w:t xml:space="preserve">Denial-of-Service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</w:t>
            </w:r>
          </w:p>
        </w:tc>
        <w:tc>
          <w:tcPr/>
          <w:p>
            <w:pPr>
              <w:pStyle w:val="Compact"/>
            </w:pPr>
            <w:r>
              <w:t xml:space="preserve">Boundary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 Bk 07, Vol III Bk 04, Vol VI Bk 01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SC-7(3)</w:t>
            </w:r>
          </w:p>
        </w:tc>
        <w:tc>
          <w:tcPr/>
          <w:p>
            <w:pPr>
              <w:pStyle w:val="Compact"/>
            </w:pPr>
            <w:r>
              <w:t xml:space="preserve">Boundary Protection — Access Points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SC-7(5)</w:t>
            </w:r>
          </w:p>
        </w:tc>
        <w:tc>
          <w:tcPr/>
          <w:p>
            <w:pPr>
              <w:pStyle w:val="Compact"/>
            </w:pPr>
            <w:r>
              <w:t xml:space="preserve">Boundary Protection — Deny by Default — Allow by Exception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SC-7(7)</w:t>
            </w:r>
          </w:p>
        </w:tc>
        <w:tc>
          <w:tcPr/>
          <w:p>
            <w:pPr>
              <w:pStyle w:val="Compact"/>
            </w:pPr>
            <w:r>
              <w:t xml:space="preserve">Boundary Protection — Split Tunneling for Remote Devices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SC-7(8)</w:t>
            </w:r>
          </w:p>
        </w:tc>
        <w:tc>
          <w:tcPr/>
          <w:p>
            <w:pPr>
              <w:pStyle w:val="Compact"/>
            </w:pPr>
            <w:r>
              <w:t xml:space="preserve">Boundary Protection — Route Traffic to Authenticated Proxy Servers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07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SC-8</w:t>
            </w:r>
          </w:p>
        </w:tc>
        <w:tc>
          <w:tcPr/>
          <w:p>
            <w:pPr>
              <w:pStyle w:val="Compact"/>
            </w:pPr>
            <w:r>
              <w:t xml:space="preserve">Transmission Confidentiality and Integrity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 Bk 07, Vol II Bk 01, Vol II Bk 03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SC-8(1)</w:t>
            </w:r>
          </w:p>
        </w:tc>
        <w:tc>
          <w:tcPr/>
          <w:p>
            <w:pPr>
              <w:pStyle w:val="Compact"/>
            </w:pPr>
            <w:r>
              <w:t xml:space="preserve">Transmission Confidentiality and Integrity — Cryptographic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07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SC-12</w:t>
            </w:r>
          </w:p>
        </w:tc>
        <w:tc>
          <w:tcPr/>
          <w:p>
            <w:pPr>
              <w:pStyle w:val="Compact"/>
            </w:pPr>
            <w:r>
              <w:t xml:space="preserve">Cryptographic Key Establishment and Management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03, 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SC-12(1)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SC-13</w:t>
            </w:r>
          </w:p>
        </w:tc>
        <w:tc>
          <w:tcPr/>
          <w:p>
            <w:pPr>
              <w:pStyle w:val="Compact"/>
            </w:pPr>
            <w:r>
              <w:t xml:space="preserve">Cryptographic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SC-17</w:t>
            </w:r>
          </w:p>
        </w:tc>
        <w:tc>
          <w:tcPr/>
          <w:p>
            <w:pPr>
              <w:pStyle w:val="Compact"/>
            </w:pPr>
            <w:r>
              <w:t xml:space="preserve">Public Key Infrastructure Certificates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03, Vol III Bk 05, Vol VI Bk 02, Vol IX Bk 03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SC-20</w:t>
            </w:r>
          </w:p>
        </w:tc>
        <w:tc>
          <w:tcPr/>
          <w:p>
            <w:pPr>
              <w:pStyle w:val="Compact"/>
            </w:pPr>
            <w:r>
              <w:t xml:space="preserve">Secure Name/Address Resolution Service (Authoritative Source)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01, Vol VI Bk 01, Vol VIII Bk 06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SC-21</w:t>
            </w:r>
          </w:p>
        </w:tc>
        <w:tc>
          <w:tcPr/>
          <w:p>
            <w:pPr>
              <w:pStyle w:val="Compact"/>
            </w:pPr>
            <w:r>
              <w:t xml:space="preserve">Secure Name/Address Resolution Service (Recursive or Caching Resolver)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01, Vol VI Bk 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SC-22</w:t>
            </w:r>
          </w:p>
        </w:tc>
        <w:tc>
          <w:tcPr/>
          <w:p>
            <w:pPr>
              <w:pStyle w:val="Compact"/>
            </w:pPr>
            <w:r>
              <w:t xml:space="preserve">Architecture and Provisioning for Name/Address Resolution Service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01, Vol VI Bk 01, Vol VIII Bk 06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SC-28</w:t>
            </w:r>
          </w:p>
        </w:tc>
        <w:tc>
          <w:tcPr/>
          <w:p>
            <w:pPr>
              <w:pStyle w:val="Compact"/>
            </w:pPr>
            <w:r>
              <w:t xml:space="preserve">Protection of Information at Rest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 Bk 03, Vol III Bk 05, Vol VI Bk 05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SI-2</w:t>
            </w:r>
          </w:p>
        </w:tc>
        <w:tc>
          <w:tcPr/>
          <w:p>
            <w:pPr>
              <w:pStyle w:val="Compact"/>
            </w:pPr>
            <w:r>
              <w:t xml:space="preserve">Flaw Remediation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02, Vol III Bk 03, Vol VI Bk 06, Vol VII Bk 03</w:t>
            </w:r>
          </w:p>
        </w:tc>
        <w:tc>
          <w:tcPr/>
          <w:p>
            <w:pPr>
              <w:pStyle w:val="Compact"/>
            </w:pPr>
            <w:r>
              <w:t xml:space="preserve">KSI-MLA, 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SI-2(2)</w:t>
            </w:r>
          </w:p>
        </w:tc>
        <w:tc>
          <w:tcPr/>
          <w:p>
            <w:pPr>
              <w:pStyle w:val="Compact"/>
            </w:pPr>
            <w:r>
              <w:t xml:space="preserve">Flaw Remediation — Automated Flaw Remediation Status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02, Vol III Bk 03</w:t>
            </w:r>
          </w:p>
        </w:tc>
        <w:tc>
          <w:tcPr/>
          <w:p>
            <w:pPr>
              <w:pStyle w:val="Compact"/>
            </w:pPr>
            <w:r>
              <w:t xml:space="preserve">KSI-MLA, 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SI-2(3)</w:t>
            </w:r>
          </w:p>
        </w:tc>
        <w:tc>
          <w:tcPr/>
          <w:p>
            <w:pPr>
              <w:pStyle w:val="Compact"/>
            </w:pPr>
            <w:r>
              <w:t xml:space="preserve">Flaw Remediation — Time to Remediate Flaws and Benchmarks for Corrective Actions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03</w:t>
            </w:r>
          </w:p>
        </w:tc>
        <w:tc>
          <w:tcPr/>
          <w:p>
            <w:pPr>
              <w:pStyle w:val="Compact"/>
            </w:pPr>
            <w:r>
              <w:t xml:space="preserve">KSI-SVC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SI-3</w:t>
            </w:r>
          </w:p>
        </w:tc>
        <w:tc>
          <w:tcPr/>
          <w:p>
            <w:pPr>
              <w:pStyle w:val="Compact"/>
            </w:pPr>
            <w:r>
              <w:t xml:space="preserve">Malicious Code Protection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 Bk 01, Vol I Bk 05, Vol I Bk 06, Vol III Bk 04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SI-4</w:t>
            </w:r>
          </w:p>
        </w:tc>
        <w:tc>
          <w:tcPr/>
          <w:p>
            <w:pPr>
              <w:pStyle w:val="Compact"/>
            </w:pPr>
            <w:r>
              <w:t xml:space="preserve">System Monitoring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 Bk 05, Vol I Bk 06, Vol I Bk 07, Vol II Bk 01, Vol III Bk 06, Vol VI Bk 03, Vol VI Bk 08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SI-4(2)</w:t>
            </w:r>
          </w:p>
        </w:tc>
        <w:tc>
          <w:tcPr/>
          <w:p>
            <w:pPr>
              <w:pStyle w:val="Compact"/>
            </w:pPr>
            <w:r>
              <w:t xml:space="preserve">Automated Tools and Mechanisms for Real-time Analysis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SI-4(4)</w:t>
            </w:r>
          </w:p>
        </w:tc>
        <w:tc>
          <w:tcPr/>
          <w:p>
            <w:pPr>
              <w:pStyle w:val="Compact"/>
            </w:pPr>
            <w:r>
              <w:t xml:space="preserve">Inbound and Outbound Communications Traffic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SI-4(7)</w:t>
            </w:r>
          </w:p>
        </w:tc>
        <w:tc>
          <w:tcPr/>
          <w:p>
            <w:pPr>
              <w:pStyle w:val="Compact"/>
            </w:pPr>
            <w:r>
              <w:t xml:space="preserve">Automated Response to Suspicious Events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SI-4(16)</w:t>
            </w:r>
          </w:p>
        </w:tc>
        <w:tc>
          <w:tcPr/>
          <w:p>
            <w:pPr>
              <w:pStyle w:val="Compact"/>
            </w:pPr>
            <w:r>
              <w:t xml:space="preserve">Correlate Monitoring Information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07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SI-5</w:t>
            </w:r>
          </w:p>
        </w:tc>
        <w:tc>
          <w:tcPr/>
          <w:p>
            <w:pPr>
              <w:pStyle w:val="Compact"/>
            </w:pPr>
            <w:r>
              <w:t xml:space="preserve">Security Alerts, Advisories, and Directives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SI-12</w:t>
            </w:r>
          </w:p>
        </w:tc>
        <w:tc>
          <w:tcPr/>
          <w:p>
            <w:pPr>
              <w:pStyle w:val="Compact"/>
            </w:pPr>
            <w:r>
              <w:t xml:space="preserve">Information Management and Retention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 Bk 04, Vol II Bk 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SR-1</w:t>
            </w:r>
          </w:p>
        </w:tc>
        <w:tc>
          <w:tcPr/>
          <w:p>
            <w:pPr>
              <w:pStyle w:val="Compact"/>
            </w:pPr>
            <w:r>
              <w:t xml:space="preserve">Policy and Procedures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SR-2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Plan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SR-3</w:t>
            </w:r>
          </w:p>
        </w:tc>
        <w:tc>
          <w:tcPr/>
          <w:p>
            <w:pPr>
              <w:pStyle w:val="Compact"/>
            </w:pPr>
            <w:r>
              <w:t xml:space="preserve">Supply Chain Controls and Processes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SR-5</w:t>
            </w:r>
          </w:p>
        </w:tc>
        <w:tc>
          <w:tcPr/>
          <w:p>
            <w:pPr>
              <w:pStyle w:val="Compact"/>
            </w:pPr>
            <w:r>
              <w:t xml:space="preserve">Acquisition Strategies, Tools, and Methods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SR-6</w:t>
            </w:r>
          </w:p>
        </w:tc>
        <w:tc>
          <w:tcPr/>
          <w:p>
            <w:pPr>
              <w:pStyle w:val="Compact"/>
            </w:pPr>
            <w:r>
              <w:t xml:space="preserve">Supplier Assessments and Reviews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SR-8</w:t>
            </w:r>
          </w:p>
        </w:tc>
        <w:tc>
          <w:tcPr/>
          <w:p>
            <w:pPr>
              <w:pStyle w:val="Compact"/>
            </w:pPr>
            <w:r>
              <w:t xml:space="preserve">Notification Agreements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SR-10</w:t>
            </w:r>
          </w:p>
        </w:tc>
        <w:tc>
          <w:tcPr/>
          <w:p>
            <w:pPr>
              <w:pStyle w:val="Compact"/>
            </w:pPr>
            <w:r>
              <w:t xml:space="preserve">Inspection of Systems or Components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SR-11</w:t>
            </w:r>
          </w:p>
        </w:tc>
        <w:tc>
          <w:tcPr/>
          <w:p>
            <w:pPr>
              <w:pStyle w:val="Compact"/>
            </w:pPr>
            <w:r>
              <w:t xml:space="preserve">Component Authenticity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† Coordination-only closure: the row’s primary closure is carried by the architecture volume(s) listed alongside it; Vol IX Bk 05 coordinates the control (ServiceNow supplier-review workflow for SA-9) rather than closing it in its own right.</w:t>
      </w:r>
    </w:p>
    <w:bookmarkEnd w:id="13"/>
    <w:bookmarkStart w:id="14" w:name="control-coverage-by-volume"/>
    <w:p>
      <w:pPr>
        <w:pStyle w:val="Heading1"/>
      </w:pPr>
      <w:r>
        <w:t xml:space="preserve">4. Control Coverage by Volume</w:t>
      </w:r>
    </w:p>
    <w:p>
      <w:pPr>
        <w:pStyle w:val="FirstParagraph"/>
      </w:pPr>
      <w:r>
        <w:t xml:space="preserve">Distinct controls addressed within each volume (a control addressed in several volumes is counted in each).</w:t>
      </w:r>
    </w:p>
    <w:p>
      <w:pPr>
        <w:pStyle w:val="TableCaption"/>
      </w:pPr>
      <w:r>
        <w:t xml:space="preserve">Control coverage by volume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Control coverage by volum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Volume</w:t>
            </w:r>
          </w:p>
        </w:tc>
        <w:tc>
          <w:tcPr/>
          <w:p>
            <w:pPr>
              <w:pStyle w:val="Compact"/>
            </w:pPr>
            <w:r>
              <w:t xml:space="preserve">Distinct controls addressed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</w:t>
            </w:r>
          </w:p>
        </w:tc>
        <w:tc>
          <w:tcPr/>
          <w:p>
            <w:pPr>
              <w:pStyle w:val="Compact"/>
            </w:pPr>
            <w:r>
              <w:t xml:space="preserve">41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II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III</w:t>
            </w:r>
          </w:p>
        </w:tc>
        <w:tc>
          <w:tcPr/>
          <w:p>
            <w:pPr>
              <w:pStyle w:val="Compact"/>
            </w:pPr>
            <w:r>
              <w:t xml:space="preserve">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IV</w:t>
            </w:r>
          </w:p>
        </w:tc>
        <w:tc>
          <w:tcPr/>
          <w:p>
            <w:pPr>
              <w:pStyle w:val="Compact"/>
            </w:pPr>
            <w:r>
              <w:t xml:space="preserve">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</w:t>
            </w:r>
          </w:p>
        </w:tc>
        <w:tc>
          <w:tcPr/>
          <w:p>
            <w:pPr>
              <w:pStyle w:val="Compact"/>
            </w:pPr>
            <w:r>
              <w:t xml:space="preserve">38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VII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VIII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IX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Series total (distinct)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149</w:t>
            </w:r>
          </w:p>
        </w:tc>
      </w:tr>
    </w:tbl>
    <w:p>
      <w:pPr>
        <w:pStyle w:val="BodyText"/>
      </w:pPr>
      <w:r>
        <w:t xml:space="preserve">Volumes VII–IX raise the</w:t>
      </w:r>
      <w:r>
        <w:t xml:space="preserve"> </w:t>
      </w:r>
      <w:r>
        <w:rPr>
          <w:i/>
          <w:iCs/>
        </w:rPr>
        <w:t xml:space="preserve">per-volume</w:t>
      </w:r>
      <w:r>
        <w:t xml:space="preserve"> </w:t>
      </w:r>
      <w:r>
        <w:t xml:space="preserve">counts above but add only four new distinct</w:t>
      </w:r>
      <w:r>
        <w:t xml:space="preserve"> </w:t>
      </w:r>
      <w:r>
        <w:t xml:space="preserve">controls to the series total (</w:t>
      </w:r>
      <w:r>
        <w:rPr>
          <w:b/>
          <w:bCs/>
        </w:rPr>
        <w:t xml:space="preserve">CM-5</w:t>
      </w:r>
      <w:r>
        <w:t xml:space="preserve"> </w:t>
      </w:r>
      <w:r>
        <w:t xml:space="preserve">plus AC-2(3), AC-2(4), SA-9(2)): their closures overwhelmingly coordinate</w:t>
      </w:r>
      <w:r>
        <w:t xml:space="preserve"> </w:t>
      </w:r>
      <w:r>
        <w:t xml:space="preserve">and operate controls the architecture volumes already close (CM-2/3/6/8, CA-2/5/7,</w:t>
      </w:r>
      <w:r>
        <w:t xml:space="preserve"> </w:t>
      </w:r>
      <w:r>
        <w:t xml:space="preserve">AC-2/6, IA-5, IA-5(2), SC-17/20/22, SI-2, RA-5, AU-2), reconciled to the CM-8 join</w:t>
      </w:r>
      <w:r>
        <w:t xml:space="preserve"> </w:t>
      </w:r>
      <w:r>
        <w:t xml:space="preserve">key. The series total moved from 146 to 149 as the Vol VII SaaS-integration enhancements (AC-2(3), AC-2(4), SA-9(2)) were folded in.</w:t>
      </w:r>
    </w:p>
    <w:bookmarkEnd w:id="14"/>
    <w:bookmarkStart w:id="15" w:name="fedramp-20x-ksi-view"/>
    <w:p>
      <w:pPr>
        <w:pStyle w:val="Heading1"/>
      </w:pPr>
      <w:r>
        <w:t xml:space="preserve">5. FedRAMP 20x KSI View</w:t>
      </w:r>
    </w:p>
    <w:p>
      <w:pPr>
        <w:pStyle w:val="FirstParagraph"/>
      </w:pPr>
      <w:r>
        <w:t xml:space="preserve">Where a book maps a control to a FedRAMP 20x Key Security Indicator, those associations are aggregated here. Absence of a KSI in this view means no book stated a per-control KSI mapping — not that the control is unmapped in FedRAMP 20x.</w:t>
      </w:r>
    </w:p>
    <w:p>
      <w:pPr>
        <w:pStyle w:val="TableCaption"/>
      </w:pPr>
      <w:r>
        <w:t xml:space="preserve">FedRAMP 20x Key Security Indicator → contributing controls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FedRAMP 20x Key Security Indicator → contributing control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Controls mapped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KSI-022</w:t>
            </w:r>
          </w:p>
        </w:tc>
        <w:tc>
          <w:tcPr/>
          <w:p>
            <w:pPr>
              <w:pStyle w:val="Compact"/>
            </w:pPr>
            <w:r>
              <w:t xml:space="preserve">AT-2, AT-3, AT-4, CP-3, IR-2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CM-2, CM-3, CM-6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KSI-CNA</w:t>
            </w:r>
          </w:p>
        </w:tc>
        <w:tc>
          <w:tcPr/>
          <w:p>
            <w:pPr>
              <w:pStyle w:val="Compact"/>
            </w:pPr>
            <w:r>
              <w:t xml:space="preserve">AC-4, AC-17, SC-7, SC-7(8), SC-8, SC-8(1), SC-20, SC-22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AC-2, AC-6, AC-19, AC-20, CM-5, IA-3, IA-5, IA-5(2), SC-17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AU-2, AU-3, AU-6(1), AU-12, AU-12(1), CA-2, CA-5, CA-7, RA-5, SI-2, SI-2(2), SI-3, SI-4, SI-4(16)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CA-3, CM-8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KSI-SCR</w:t>
            </w:r>
          </w:p>
        </w:tc>
        <w:tc>
          <w:tcPr/>
          <w:p>
            <w:pPr>
              <w:pStyle w:val="Compact"/>
            </w:pPr>
            <w:r>
              <w:t xml:space="preserve">SA-9, SA-9(2)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KSI-SVC</w:t>
            </w:r>
          </w:p>
        </w:tc>
        <w:tc>
          <w:tcPr/>
          <w:p>
            <w:pPr>
              <w:pStyle w:val="Compact"/>
            </w:pPr>
            <w:r>
              <w:t xml:space="preserve">CM-6, CM-7, SA-11, SI-2, SI-2(2), SI-2(3)</w:t>
            </w:r>
          </w:p>
        </w:tc>
      </w:tr>
    </w:tbl>
    <w:p>
      <w:pPr>
        <w:pStyle w:val="BodyText"/>
      </w:pPr>
      <w:r>
        <w:t xml:space="preserve">The Volume VII/VIII/IX closures widen several themes:</w:t>
      </w:r>
      <w:r>
        <w:t xml:space="preserve"> </w:t>
      </w:r>
      <w:r>
        <w:rPr>
          <w:b/>
          <w:bCs/>
        </w:rPr>
        <w:t xml:space="preserve">KSI-CMT</w:t>
      </w:r>
      <w:r>
        <w:t xml:space="preserve"> </w:t>
      </w:r>
      <w:r>
        <w:t xml:space="preserve">gains CM-3</w:t>
      </w:r>
      <w:r>
        <w:t xml:space="preserve"> </w:t>
      </w:r>
      <w:r>
        <w:t xml:space="preserve">(change-controlled configuration),</w:t>
      </w:r>
      <w:r>
        <w:t xml:space="preserve"> </w:t>
      </w:r>
      <w:r>
        <w:rPr>
          <w:b/>
          <w:bCs/>
        </w:rPr>
        <w:t xml:space="preserve">KSI-CNA</w:t>
      </w:r>
      <w:r>
        <w:t xml:space="preserve"> </w:t>
      </w:r>
      <w:r>
        <w:t xml:space="preserve">gains the multi-cloud DDI naming</w:t>
      </w:r>
      <w:r>
        <w:t xml:space="preserve"> </w:t>
      </w:r>
      <w:r>
        <w:t xml:space="preserve">controls (SC-20, SC-22),</w:t>
      </w:r>
      <w:r>
        <w:t xml:space="preserve"> </w:t>
      </w:r>
      <w:r>
        <w:rPr>
          <w:b/>
          <w:bCs/>
        </w:rPr>
        <w:t xml:space="preserve">KSI-IAM</w:t>
      </w:r>
      <w:r>
        <w:t xml:space="preserve"> </w:t>
      </w:r>
      <w:r>
        <w:t xml:space="preserve">gains the identity/least-privilege and</w:t>
      </w:r>
      <w:r>
        <w:t xml:space="preserve"> </w:t>
      </w:r>
      <w:r>
        <w:t xml:space="preserve">credential-lifecycle controls the ServiceNow catalog governs (AC-2, AC-6, IA-5,</w:t>
      </w:r>
      <w:r>
        <w:t xml:space="preserve"> </w:t>
      </w:r>
      <w:r>
        <w:t xml:space="preserve">IA-5(2), SC-17, and the new CM-5 SoD gate),</w:t>
      </w:r>
      <w:r>
        <w:t xml:space="preserve"> </w:t>
      </w:r>
      <w:r>
        <w:rPr>
          <w:b/>
          <w:bCs/>
        </w:rPr>
        <w:t xml:space="preserve">KSI-MLA</w:t>
      </w:r>
      <w:r>
        <w:t xml:space="preserve"> </w:t>
      </w:r>
      <w:r>
        <w:t xml:space="preserve">gains the attestation and</w:t>
      </w:r>
      <w:r>
        <w:t xml:space="preserve"> </w:t>
      </w:r>
      <w:r>
        <w:t xml:space="preserve">telephony/DDI audit controls (CA-2, CA-5, AU-2), and</w:t>
      </w:r>
      <w:r>
        <w:t xml:space="preserve"> </w:t>
      </w:r>
      <w:r>
        <w:rPr>
          <w:b/>
          <w:bCs/>
        </w:rPr>
        <w:t xml:space="preserve">KSI-PIY</w:t>
      </w:r>
      <w:r>
        <w:t xml:space="preserve"> </w:t>
      </w:r>
      <w:r>
        <w:t xml:space="preserve">(asset</w:t>
      </w:r>
      <w:r>
        <w:t xml:space="preserve"> </w:t>
      </w:r>
      <w:r>
        <w:t xml:space="preserve">inventory / provenance) draws on the CM-8 join-key reconciliation and the CA-3</w:t>
      </w:r>
      <w:r>
        <w:t xml:space="preserve"> </w:t>
      </w:r>
      <w:r>
        <w:t xml:space="preserve">information-exchange mapping that run through Volumes VII, VIII, and IX.</w:t>
      </w:r>
    </w:p>
    <w:bookmarkEnd w:id="15"/>
    <w:bookmarkStart w:id="16" w:name="notes-and-caveats"/>
    <w:p>
      <w:pPr>
        <w:pStyle w:val="Heading1"/>
      </w:pPr>
      <w:r>
        <w:t xml:space="preserve">6. Notes and Caveats</w:t>
      </w:r>
    </w:p>
    <w:p>
      <w:pPr>
        <w:pStyle w:val="Compact"/>
        <w:numPr>
          <w:ilvl w:val="0"/>
          <w:numId w:val="1002"/>
        </w:numPr>
      </w:pPr>
      <w:r>
        <w:t xml:space="preserve">A control addressed in multiple books is intentional: the series separates</w:t>
      </w:r>
      <w:r>
        <w:t xml:space="preserve"> </w:t>
      </w:r>
      <w:r>
        <w:t xml:space="preserve">architecture (closure) from implementation (Volume VI) and, in a few families,</w:t>
      </w:r>
      <w:r>
        <w:t xml:space="preserve"> </w:t>
      </w:r>
      <w:r>
        <w:t xml:space="preserve">layers edge, host, and cloud-plane treatments across different books.</w:t>
      </w:r>
    </w:p>
    <w:p>
      <w:pPr>
        <w:pStyle w:val="Compact"/>
        <w:numPr>
          <w:ilvl w:val="0"/>
          <w:numId w:val="1002"/>
        </w:numPr>
      </w:pPr>
      <w:r>
        <w:t xml:space="preserve">Enhancement rows (e.g. AC-6(9)) appear separately only where a book cites the</w:t>
      </w:r>
      <w:r>
        <w:t xml:space="preserve"> </w:t>
      </w:r>
      <w:r>
        <w:t xml:space="preserve">enhancement specifically; otherwise coverage is recorded at the base control.</w:t>
      </w:r>
    </w:p>
    <w:p>
      <w:pPr>
        <w:pStyle w:val="Compact"/>
        <w:numPr>
          <w:ilvl w:val="0"/>
          <w:numId w:val="1002"/>
        </w:numPr>
      </w:pPr>
      <w:r>
        <w:t xml:space="preserve">This index reflects the series as of the Date Code above. Regenerate it after any</w:t>
      </w:r>
      <w:r>
        <w:t xml:space="preserve"> </w:t>
      </w:r>
      <w:r>
        <w:t xml:space="preserve">book’s control tables change by re-running the extraction and merge, then</w:t>
      </w:r>
      <w:r>
        <w:t xml:space="preserve"> </w:t>
      </w:r>
      <w:r>
        <w:t xml:space="preserve">re-rendering this appendix.</w:t>
      </w:r>
    </w:p>
    <w:bookmarkEnd w:id="16"/>
    <w:bookmarkStart w:id="17" w:name="X16f9844d438bd79dd5837db080242a20cb4fa95"/>
    <w:p>
      <w:pPr>
        <w:pStyle w:val="Heading1"/>
      </w:pPr>
      <w:r>
        <w:t xml:space="preserve">7. Appendix — Controls Addressed but Not Yet Closed in the Spine</w:t>
      </w:r>
    </w:p>
    <w:p>
      <w:pPr>
        <w:pStyle w:val="FirstParagraph"/>
      </w:pPr>
      <w:r>
        <w:t xml:space="preserve">Of the</w:t>
      </w:r>
      <w:r>
        <w:t xml:space="preserve"> </w:t>
      </w:r>
      <w:r>
        <w:rPr>
          <w:b/>
          <w:bCs/>
        </w:rPr>
        <w:t xml:space="preserve">149 controls</w:t>
      </w:r>
      <w:r>
        <w:t xml:space="preserve"> </w:t>
      </w:r>
      <w:r>
        <w:t xml:space="preserve">this master table indexes, the compliance spine carries a machine-checked closure for</w:t>
      </w:r>
      <w:r>
        <w:t xml:space="preserve"> </w:t>
      </w:r>
      <w:r>
        <w:rPr>
          <w:b/>
          <w:bCs/>
        </w:rPr>
        <w:t xml:space="preserve">53</w:t>
      </w:r>
      <w:r>
        <w:t xml:space="preserve">. The</w:t>
      </w:r>
      <w:r>
        <w:t xml:space="preserve"> </w:t>
      </w:r>
      <w:r>
        <w:rPr>
          <w:b/>
          <w:bCs/>
        </w:rPr>
        <w:t xml:space="preserve">96</w:t>
      </w:r>
      <w:r>
        <w:t xml:space="preserve"> </w:t>
      </w:r>
      <w:r>
        <w:t xml:space="preserve">below are addressed somewhere in the series but have</w:t>
      </w:r>
      <w:r>
        <w:t xml:space="preserve"> </w:t>
      </w:r>
      <w:r>
        <w:rPr>
          <w:b/>
          <w:bCs/>
        </w:rPr>
        <w:t xml:space="preserve">no spine closure yet</w:t>
      </w:r>
      <w:r>
        <w:t xml:space="preserve"> </w:t>
      </w:r>
      <w:r>
        <w:t xml:space="preserve">— no generated authorities row, no evidence slot, no KSI binding, and nothing for the drift gate to check. They are the back-fill queue.</w:t>
      </w:r>
    </w:p>
    <w:p>
      <w:pPr>
        <w:pStyle w:val="BlockText"/>
      </w:pPr>
      <w:r>
        <w:rPr>
          <w:b/>
          <w:bCs/>
        </w:rPr>
        <w:t xml:space="preserve">What this table is not.</w:t>
      </w:r>
      <w:r>
        <w:t xml:space="preserve"> </w:t>
      </w:r>
      <w:r>
        <w:t xml:space="preserve">It is the difference between this book’s hand-maintained index and the spine —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gap analysis against the FedRAMP Moderate baseline. A control absent from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is invisible here: the series does not carry an authoritative Moderate control list, so</w:t>
      </w:r>
      <w:r>
        <w:t xml:space="preserve"> </w:t>
      </w:r>
      <w:r>
        <w:t xml:space="preserve">“addressed nowhere”</w:t>
      </w:r>
      <w:r>
        <w:t xml:space="preserve"> </w:t>
      </w:r>
      <w:r>
        <w:t xml:space="preserve">cannot be enumerated from repo data. Read this as</w:t>
      </w:r>
      <w:r>
        <w:t xml:space="preserve"> </w:t>
      </w:r>
      <w:r>
        <w:rPr>
          <w:i/>
          <w:iCs/>
        </w:rPr>
        <w:t xml:space="preserve">“claimed in prose, not yet proven by the spine”</w:t>
      </w:r>
      <w:r>
        <w:t xml:space="preserve"> </w:t>
      </w:r>
      <w:r>
        <w:t xml:space="preserve">— the larger question of baseline completeness is the SSP’s, and is open (see the Vol 0 Book 00 residual-risk section).</w:t>
      </w:r>
    </w:p>
    <w:p>
      <w:pPr>
        <w:pStyle w:val="TableCaption"/>
      </w:pPr>
      <w:r>
        <w:t xml:space="preserve">Not-yet-closed controls by family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Not-yet-closed controls by family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Not yet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96</w:t>
            </w:r>
          </w:p>
        </w:tc>
      </w:tr>
    </w:tbl>
    <w:p>
      <w:pPr>
        <w:pStyle w:val="BodyText"/>
      </w:pPr>
      <w:r>
        <w:t xml:space="preserve"> </w:t>
      </w:r>
    </w:p>
    <w:p>
      <w:pPr>
        <w:pStyle w:val="TableCaption"/>
      </w:pPr>
      <w:r>
        <w:t xml:space="preserve">Controls addressed in the series with no spine closure yet — the back-fill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ntrols addressed in the series with no spine closure yet — the back-fill queue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Addressed in (this book’s index)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AC-2(13)</w:t>
            </w:r>
          </w:p>
        </w:tc>
        <w:tc>
          <w:tcPr/>
          <w:p>
            <w:pPr>
              <w:pStyle w:val="Compact"/>
            </w:pPr>
            <w:r>
              <w:t xml:space="preserve">Account Management — Disable Accounts for High-Risk Individuals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VI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AC-6(1)</w:t>
            </w:r>
          </w:p>
        </w:tc>
        <w:tc>
          <w:tcPr/>
          <w:p>
            <w:pPr>
              <w:pStyle w:val="Compact"/>
            </w:pPr>
            <w:r>
              <w:t xml:space="preserve">Least Privilege — Authorize Access to Security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AC-6(2)</w:t>
            </w:r>
          </w:p>
        </w:tc>
        <w:tc>
          <w:tcPr/>
          <w:p>
            <w:pPr>
              <w:pStyle w:val="Compact"/>
            </w:pPr>
            <w:r>
              <w:t xml:space="preserve">Least Privilege — Non-Privileged Access for Nonsecurity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AC-6(5)</w:t>
            </w:r>
          </w:p>
        </w:tc>
        <w:tc>
          <w:tcPr/>
          <w:p>
            <w:pPr>
              <w:pStyle w:val="Compact"/>
            </w:pPr>
            <w:r>
              <w:t xml:space="preserve">Least Privilege — Privileged Accounts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AC-6(9)</w:t>
            </w:r>
          </w:p>
        </w:tc>
        <w:tc>
          <w:tcPr/>
          <w:p>
            <w:pPr>
              <w:pStyle w:val="Compact"/>
            </w:pPr>
            <w:r>
              <w:t xml:space="preserve">Least Privilege — Log Use of Privileged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AC-6(10)</w:t>
            </w:r>
          </w:p>
        </w:tc>
        <w:tc>
          <w:tcPr/>
          <w:p>
            <w:pPr>
              <w:pStyle w:val="Compact"/>
            </w:pPr>
            <w:r>
              <w:t xml:space="preserve">Least Privilege — Prohibit Non-Privileged Users from Executing Privileged Functions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AC-7</w:t>
            </w:r>
          </w:p>
        </w:tc>
        <w:tc>
          <w:tcPr/>
          <w:p>
            <w:pPr>
              <w:pStyle w:val="Compact"/>
            </w:pPr>
            <w:r>
              <w:t xml:space="preserve">Unsuccessful Logon Attempts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VI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AC-11</w:t>
            </w:r>
          </w:p>
        </w:tc>
        <w:tc>
          <w:tcPr/>
          <w:p>
            <w:pPr>
              <w:pStyle w:val="Compact"/>
            </w:pPr>
            <w:r>
              <w:t xml:space="preserve">Device Lock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AC-12</w:t>
            </w:r>
          </w:p>
        </w:tc>
        <w:tc>
          <w:tcPr/>
          <w:p>
            <w:pPr>
              <w:pStyle w:val="Compact"/>
            </w:pPr>
            <w:r>
              <w:t xml:space="preserve">Session Termination</w:t>
            </w:r>
          </w:p>
        </w:tc>
        <w:tc>
          <w:tcPr/>
          <w:p>
            <w:pPr>
              <w:pStyle w:val="Compact"/>
            </w:pPr>
            <w:r>
              <w:t xml:space="preserve">AC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03, Vol VI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AT-2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05, Vol V Bk 01, Vol V Bk 02, Vol 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AT-2(1)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 — Practical Exercises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AT-2(2)</w:t>
            </w:r>
          </w:p>
        </w:tc>
        <w:tc>
          <w:tcPr/>
          <w:p>
            <w:pPr>
              <w:pStyle w:val="Compact"/>
            </w:pPr>
            <w:r>
              <w:t xml:space="preserve">Literacy Training and Awareness — Insider Threat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AT-3</w:t>
            </w:r>
          </w:p>
        </w:tc>
        <w:tc>
          <w:tcPr/>
          <w:p>
            <w:pPr>
              <w:pStyle w:val="Compact"/>
            </w:pPr>
            <w:r>
              <w:t xml:space="preserve">Role-based Training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05, Vol V Bk 01, Vol V Bk 02, Vol 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AT-3(3)</w:t>
            </w:r>
          </w:p>
        </w:tc>
        <w:tc>
          <w:tcPr/>
          <w:p>
            <w:pPr>
              <w:pStyle w:val="Compact"/>
            </w:pPr>
            <w:r>
              <w:t xml:space="preserve">Role-based Training — Practical Exercises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AT-3(5)</w:t>
            </w:r>
          </w:p>
        </w:tc>
        <w:tc>
          <w:tcPr/>
          <w:p>
            <w:pPr>
              <w:pStyle w:val="Compact"/>
            </w:pPr>
            <w:r>
              <w:t xml:space="preserve">Role-based Training — Processing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AT-4</w:t>
            </w:r>
          </w:p>
        </w:tc>
        <w:tc>
          <w:tcPr/>
          <w:p>
            <w:pPr>
              <w:pStyle w:val="Compact"/>
            </w:pPr>
            <w:r>
              <w:t xml:space="preserve">Training Records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AU-6(4)</w:t>
            </w:r>
          </w:p>
        </w:tc>
        <w:tc>
          <w:tcPr/>
          <w:p>
            <w:pPr>
              <w:pStyle w:val="Compact"/>
            </w:pPr>
            <w:r>
              <w:t xml:space="preserve">Central Review and Analysis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AU-7</w:t>
            </w:r>
          </w:p>
        </w:tc>
        <w:tc>
          <w:tcPr/>
          <w:p>
            <w:pPr>
              <w:pStyle w:val="Compact"/>
            </w:pPr>
            <w:r>
              <w:t xml:space="preserve">Audit Record Reduction and Report Generation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AU-8</w:t>
            </w:r>
          </w:p>
        </w:tc>
        <w:tc>
          <w:tcPr/>
          <w:p>
            <w:pPr>
              <w:pStyle w:val="Compact"/>
            </w:pPr>
            <w:r>
              <w:t xml:space="preserve">Time Stamps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AU-9</w:t>
            </w:r>
          </w:p>
        </w:tc>
        <w:tc>
          <w:tcPr/>
          <w:p>
            <w:pPr>
              <w:pStyle w:val="Compact"/>
            </w:pPr>
            <w:r>
              <w:t xml:space="preserve">Protection of Audit Information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AU-10</w:t>
            </w:r>
          </w:p>
        </w:tc>
        <w:tc>
          <w:tcPr/>
          <w:p>
            <w:pPr>
              <w:pStyle w:val="Compact"/>
            </w:pPr>
            <w:r>
              <w:t xml:space="preserve">Non-repudiation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AU-11</w:t>
            </w:r>
          </w:p>
        </w:tc>
        <w:tc>
          <w:tcPr/>
          <w:p>
            <w:pPr>
              <w:pStyle w:val="Compact"/>
            </w:pPr>
            <w:r>
              <w:t xml:space="preserve">Audit Record Retention</w:t>
            </w:r>
          </w:p>
        </w:tc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CA-6</w:t>
            </w:r>
          </w:p>
        </w:tc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CA-7(1)</w:t>
            </w:r>
          </w:p>
        </w:tc>
        <w:tc>
          <w:tcPr/>
          <w:p>
            <w:pPr>
              <w:pStyle w:val="Compact"/>
            </w:pPr>
            <w:r>
              <w:t xml:space="preserve">Continuous Monitoring — Independent Assessment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CA-7(3)</w:t>
            </w:r>
          </w:p>
        </w:tc>
        <w:tc>
          <w:tcPr/>
          <w:p>
            <w:pPr>
              <w:pStyle w:val="Compact"/>
            </w:pPr>
            <w:r>
              <w:t xml:space="preserve">Continuous Monitoring — Trend Analyses</w:t>
            </w:r>
          </w:p>
        </w:tc>
        <w:tc>
          <w:tcPr/>
          <w:p>
            <w:pPr>
              <w:pStyle w:val="Compact"/>
            </w:pPr>
            <w:r>
              <w:t xml:space="preserve">CA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CM-7(1)</w:t>
            </w:r>
          </w:p>
        </w:tc>
        <w:tc>
          <w:tcPr/>
          <w:p>
            <w:pPr>
              <w:pStyle w:val="Compact"/>
            </w:pPr>
            <w:r>
              <w:t xml:space="preserve">Least Functionality — Periodic Review</w:t>
            </w:r>
          </w:p>
        </w:tc>
        <w:tc>
          <w:tcPr/>
          <w:p>
            <w:pPr>
              <w:pStyle w:val="Compact"/>
            </w:pPr>
            <w:r>
              <w:t xml:space="preserve">CM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CP-2</w:t>
            </w:r>
          </w:p>
        </w:tc>
        <w:tc>
          <w:tcPr/>
          <w:p>
            <w:pPr>
              <w:pStyle w:val="Compact"/>
            </w:pPr>
            <w:r>
              <w:t xml:space="preserve">Contingency Plan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CP-2(1)</w:t>
            </w:r>
          </w:p>
        </w:tc>
        <w:tc>
          <w:tcPr/>
          <w:p>
            <w:pPr>
              <w:pStyle w:val="Compact"/>
            </w:pPr>
            <w:r>
              <w:t xml:space="preserve">Coordinate with Related Plans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CP-2(8)</w:t>
            </w:r>
          </w:p>
        </w:tc>
        <w:tc>
          <w:tcPr/>
          <w:p>
            <w:pPr>
              <w:pStyle w:val="Compact"/>
            </w:pPr>
            <w:r>
              <w:t xml:space="preserve">Identify Critical Assets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CP-3</w:t>
            </w:r>
          </w:p>
        </w:tc>
        <w:tc>
          <w:tcPr/>
          <w:p>
            <w:pPr>
              <w:pStyle w:val="Compact"/>
            </w:pPr>
            <w:r>
              <w:t xml:space="preserve">Contingency Training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01, 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CP-4</w:t>
            </w:r>
          </w:p>
        </w:tc>
        <w:tc>
          <w:tcPr/>
          <w:p>
            <w:pPr>
              <w:pStyle w:val="Compact"/>
            </w:pPr>
            <w:r>
              <w:t xml:space="preserve">Contingency Plan Testing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CP-4(1)</w:t>
            </w:r>
          </w:p>
        </w:tc>
        <w:tc>
          <w:tcPr/>
          <w:p>
            <w:pPr>
              <w:pStyle w:val="Compact"/>
            </w:pPr>
            <w:r>
              <w:t xml:space="preserve">Coordinate with Related Plans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CP-6</w:t>
            </w:r>
          </w:p>
        </w:tc>
        <w:tc>
          <w:tcPr/>
          <w:p>
            <w:pPr>
              <w:pStyle w:val="Compact"/>
            </w:pPr>
            <w:r>
              <w:t xml:space="preserve">Alternate Storage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CP-6(1)</w:t>
            </w:r>
          </w:p>
        </w:tc>
        <w:tc>
          <w:tcPr/>
          <w:p>
            <w:pPr>
              <w:pStyle w:val="Compact"/>
            </w:pPr>
            <w:r>
              <w:t xml:space="preserve">Separation from Primary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CP-7</w:t>
            </w:r>
          </w:p>
        </w:tc>
        <w:tc>
          <w:tcPr/>
          <w:p>
            <w:pPr>
              <w:pStyle w:val="Compact"/>
            </w:pPr>
            <w:r>
              <w:t xml:space="preserve">Alternate Processing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CP-7(1)</w:t>
            </w:r>
          </w:p>
        </w:tc>
        <w:tc>
          <w:tcPr/>
          <w:p>
            <w:pPr>
              <w:pStyle w:val="Compact"/>
            </w:pPr>
            <w:r>
              <w:t xml:space="preserve">Separation from Primary Site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CP-7(3)</w:t>
            </w:r>
          </w:p>
        </w:tc>
        <w:tc>
          <w:tcPr/>
          <w:p>
            <w:pPr>
              <w:pStyle w:val="Compact"/>
            </w:pPr>
            <w:r>
              <w:t xml:space="preserve">Priority of Service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CP-8</w:t>
            </w:r>
          </w:p>
        </w:tc>
        <w:tc>
          <w:tcPr/>
          <w:p>
            <w:pPr>
              <w:pStyle w:val="Compact"/>
            </w:pPr>
            <w:r>
              <w:t xml:space="preserve">Telecommunications Services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CP-8(1)</w:t>
            </w:r>
          </w:p>
        </w:tc>
        <w:tc>
          <w:tcPr/>
          <w:p>
            <w:pPr>
              <w:pStyle w:val="Compact"/>
            </w:pPr>
            <w:r>
              <w:t xml:space="preserve">Priority of Service Provisions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CP-9</w:t>
            </w:r>
          </w:p>
        </w:tc>
        <w:tc>
          <w:tcPr/>
          <w:p>
            <w:pPr>
              <w:pStyle w:val="Compact"/>
            </w:pPr>
            <w:r>
              <w:t xml:space="preserve">System Backup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II Bk 03, 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CP-10</w:t>
            </w:r>
          </w:p>
        </w:tc>
        <w:tc>
          <w:tcPr/>
          <w:p>
            <w:pPr>
              <w:pStyle w:val="Compact"/>
            </w:pPr>
            <w:r>
              <w:t xml:space="preserve">System Recovery and Reconstitution</w:t>
            </w:r>
          </w:p>
        </w:tc>
        <w:tc>
          <w:tcPr/>
          <w:p>
            <w:pPr>
              <w:pStyle w:val="Compact"/>
            </w:pPr>
            <w:r>
              <w:t xml:space="preserve">CP</w:t>
            </w:r>
          </w:p>
        </w:tc>
        <w:tc>
          <w:tcPr/>
          <w:p>
            <w:pPr>
              <w:pStyle w:val="Compact"/>
            </w:pPr>
            <w:r>
              <w:t xml:space="preserve">Vol II Bk 03, Vol IV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IA-2(1)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 (Organizational Users) — Multi-Factor Authentication to Privileged Accounts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IA-2(2)</w:t>
            </w:r>
          </w:p>
        </w:tc>
        <w:tc>
          <w:tcPr/>
          <w:p>
            <w:pPr>
              <w:pStyle w:val="Compact"/>
            </w:pPr>
            <w:r>
              <w:t xml:space="preserve">Identification and Authentication (Organizational Users) — Multi-Factor Authentication to Non-Privileged Accounts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IA-3(1)</w:t>
            </w:r>
          </w:p>
        </w:tc>
        <w:tc>
          <w:tcPr/>
          <w:p>
            <w:pPr>
              <w:pStyle w:val="Compact"/>
            </w:pPr>
            <w:r>
              <w:t xml:space="preserve">Device Identification and Authentication — Cryptographic Bidirectional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IA-5(1)</w:t>
            </w:r>
          </w:p>
        </w:tc>
        <w:tc>
          <w:tcPr/>
          <w:p>
            <w:pPr>
              <w:pStyle w:val="Compact"/>
            </w:pPr>
            <w:r>
              <w:t xml:space="preserve">Authenticator Management — Password-Based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IA-9</w:t>
            </w:r>
          </w:p>
        </w:tc>
        <w:tc>
          <w:tcPr/>
          <w:p>
            <w:pPr>
              <w:pStyle w:val="Compact"/>
            </w:pPr>
            <w:r>
              <w:t xml:space="preserve">Service Identification and 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IA-11</w:t>
            </w:r>
          </w:p>
        </w:tc>
        <w:tc>
          <w:tcPr/>
          <w:p>
            <w:pPr>
              <w:pStyle w:val="Compact"/>
            </w:pPr>
            <w:r>
              <w:t xml:space="preserve">Re-Authentication</w:t>
            </w:r>
          </w:p>
        </w:tc>
        <w:tc>
          <w:tcPr/>
          <w:p>
            <w:pPr>
              <w:pStyle w:val="Compact"/>
            </w:pPr>
            <w:r>
              <w:t xml:space="preserve">IA</w:t>
            </w:r>
          </w:p>
        </w:tc>
        <w:tc>
          <w:tcPr/>
          <w:p>
            <w:pPr>
              <w:pStyle w:val="Compact"/>
            </w:pPr>
            <w:r>
              <w:t xml:space="preserve">Vol III Bk 01, Vol VI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IR-2</w:t>
            </w:r>
          </w:p>
        </w:tc>
        <w:tc>
          <w:tcPr/>
          <w:p>
            <w:pPr>
              <w:pStyle w:val="Compact"/>
            </w:pPr>
            <w:r>
              <w:t xml:space="preserve">Incident Response Training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IV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IR-4</w:t>
            </w:r>
          </w:p>
        </w:tc>
        <w:tc>
          <w:tcPr/>
          <w:p>
            <w:pPr>
              <w:pStyle w:val="Compact"/>
            </w:pPr>
            <w:r>
              <w:t xml:space="preserve">Incident Handling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 Bk 01, Vol III Bk 06, Vol VI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IR-6</w:t>
            </w:r>
          </w:p>
        </w:tc>
        <w:tc>
          <w:tcPr/>
          <w:p>
            <w:pPr>
              <w:pStyle w:val="Compact"/>
            </w:pPr>
            <w:r>
              <w:t xml:space="preserve">Incident Reporting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III Bk 06, Vol VI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IR-8</w:t>
            </w:r>
          </w:p>
        </w:tc>
        <w:tc>
          <w:tcPr/>
          <w:p>
            <w:pPr>
              <w:pStyle w:val="Compact"/>
            </w:pPr>
            <w:r>
              <w:t xml:space="preserve">Incident Response Plan</w:t>
            </w:r>
          </w:p>
        </w:tc>
        <w:tc>
          <w:tcPr/>
          <w:p>
            <w:pPr>
              <w:pStyle w:val="Compact"/>
            </w:pPr>
            <w:r>
              <w:t xml:space="preserve">IR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MP-2</w:t>
            </w:r>
          </w:p>
        </w:tc>
        <w:tc>
          <w:tcPr/>
          <w:p>
            <w:pPr>
              <w:pStyle w:val="Compact"/>
            </w:pPr>
            <w:r>
              <w:t xml:space="preserve">Media Access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MP-3</w:t>
            </w:r>
          </w:p>
        </w:tc>
        <w:tc>
          <w:tcPr/>
          <w:p>
            <w:pPr>
              <w:pStyle w:val="Compact"/>
            </w:pPr>
            <w:r>
              <w:t xml:space="preserve">Media Marking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MP-4</w:t>
            </w:r>
          </w:p>
        </w:tc>
        <w:tc>
          <w:tcPr/>
          <w:p>
            <w:pPr>
              <w:pStyle w:val="Compact"/>
            </w:pPr>
            <w:r>
              <w:t xml:space="preserve">Media Storage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MP-5</w:t>
            </w:r>
          </w:p>
        </w:tc>
        <w:tc>
          <w:tcPr/>
          <w:p>
            <w:pPr>
              <w:pStyle w:val="Compact"/>
            </w:pPr>
            <w:r>
              <w:t xml:space="preserve">Media Transport</w:t>
            </w:r>
          </w:p>
        </w:tc>
        <w:tc>
          <w:tcPr/>
          <w:p>
            <w:pPr>
              <w:pStyle w:val="Compact"/>
            </w:pPr>
            <w:r>
              <w:t xml:space="preserve">MP</w:t>
            </w:r>
          </w:p>
        </w:tc>
        <w:tc>
          <w:tcPr/>
          <w:p>
            <w:pPr>
              <w:pStyle w:val="Compact"/>
            </w:pPr>
            <w:r>
              <w:t xml:space="preserve">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PL-8</w:t>
            </w:r>
          </w:p>
        </w:tc>
        <w:tc>
          <w:tcPr/>
          <w:p>
            <w:pPr>
              <w:pStyle w:val="Compact"/>
            </w:pPr>
            <w:r>
              <w:t xml:space="preserve">Security and Privacy Architectures</w:t>
            </w:r>
          </w:p>
        </w:tc>
        <w:tc>
          <w:tcPr/>
          <w:p>
            <w:pPr>
              <w:pStyle w:val="Compact"/>
            </w:pPr>
            <w:r>
              <w:t xml:space="preserve">PL</w:t>
            </w:r>
          </w:p>
        </w:tc>
        <w:tc>
          <w:tcPr/>
          <w:p>
            <w:pPr>
              <w:pStyle w:val="Compact"/>
            </w:pPr>
            <w:r>
              <w:t xml:space="preserve">Vol I Bk 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Plan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PM-2</w:t>
            </w:r>
          </w:p>
        </w:tc>
        <w:tc>
          <w:tcPr/>
          <w:p>
            <w:pPr>
              <w:pStyle w:val="Compact"/>
            </w:pPr>
            <w:r>
              <w:t xml:space="preserve">Information Security Program Leadership Role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PM-5</w:t>
            </w:r>
          </w:p>
        </w:tc>
        <w:tc>
          <w:tcPr/>
          <w:p>
            <w:pPr>
              <w:pStyle w:val="Compact"/>
            </w:pPr>
            <w:r>
              <w:t xml:space="preserve">System Inventory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PM-7</w:t>
            </w:r>
          </w:p>
        </w:tc>
        <w:tc>
          <w:tcPr/>
          <w:p>
            <w:pPr>
              <w:pStyle w:val="Compact"/>
            </w:pPr>
            <w:r>
              <w:t xml:space="preserve">Enterprise Architecture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PM-9</w:t>
            </w:r>
          </w:p>
        </w:tc>
        <w:tc>
          <w:tcPr/>
          <w:p>
            <w:pPr>
              <w:pStyle w:val="Compact"/>
            </w:pPr>
            <w:r>
              <w:t xml:space="preserve">Risk Management Strategy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PM-11</w:t>
            </w:r>
          </w:p>
        </w:tc>
        <w:tc>
          <w:tcPr/>
          <w:p>
            <w:pPr>
              <w:pStyle w:val="Compact"/>
            </w:pPr>
            <w:r>
              <w:t xml:space="preserve">Mission and Business Process Definition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PM-14</w:t>
            </w:r>
          </w:p>
        </w:tc>
        <w:tc>
          <w:tcPr/>
          <w:p>
            <w:pPr>
              <w:pStyle w:val="Compact"/>
            </w:pPr>
            <w:r>
              <w:t xml:space="preserve">Testing, Training, and Monitoring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PM-15</w:t>
            </w:r>
          </w:p>
        </w:tc>
        <w:tc>
          <w:tcPr/>
          <w:p>
            <w:pPr>
              <w:pStyle w:val="Compact"/>
            </w:pPr>
            <w:r>
              <w:t xml:space="preserve">Security and Privacy Groups and Associations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PM-30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Strategy</w:t>
            </w:r>
          </w:p>
        </w:tc>
        <w:tc>
          <w:tcPr/>
          <w:p>
            <w:pPr>
              <w:pStyle w:val="Compact"/>
            </w:pPr>
            <w:r>
              <w:t xml:space="preserve">PM</w:t>
            </w:r>
          </w:p>
        </w:tc>
        <w:tc>
          <w:tcPr/>
          <w:p>
            <w:pPr>
              <w:pStyle w:val="Compact"/>
            </w:pPr>
            <w:r>
              <w:t xml:space="preserve">Vol IV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PT-1</w:t>
            </w:r>
          </w:p>
        </w:tc>
        <w:tc>
          <w:tcPr/>
          <w:p>
            <w:pPr>
              <w:pStyle w:val="Compact"/>
            </w:pPr>
            <w:r>
              <w:t xml:space="preserve">Policy and Procedures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PT-2</w:t>
            </w:r>
          </w:p>
        </w:tc>
        <w:tc>
          <w:tcPr/>
          <w:p>
            <w:pPr>
              <w:pStyle w:val="Compact"/>
            </w:pPr>
            <w:r>
              <w:t xml:space="preserve">Authority to Process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PT-3</w:t>
            </w:r>
          </w:p>
        </w:tc>
        <w:tc>
          <w:tcPr/>
          <w:p>
            <w:pPr>
              <w:pStyle w:val="Compact"/>
            </w:pPr>
            <w:r>
              <w:t xml:space="preserve">Personally Identifiable Information Processing Purposes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PT-4</w:t>
            </w:r>
          </w:p>
        </w:tc>
        <w:tc>
          <w:tcPr/>
          <w:p>
            <w:pPr>
              <w:pStyle w:val="Compact"/>
            </w:pPr>
            <w:r>
              <w:t xml:space="preserve">Consent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PT-5</w:t>
            </w:r>
          </w:p>
        </w:tc>
        <w:tc>
          <w:tcPr/>
          <w:p>
            <w:pPr>
              <w:pStyle w:val="Compact"/>
            </w:pPr>
            <w:r>
              <w:t xml:space="preserve">Privacy Notice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PT-7</w:t>
            </w:r>
          </w:p>
        </w:tc>
        <w:tc>
          <w:tcPr/>
          <w:p>
            <w:pPr>
              <w:pStyle w:val="Compact"/>
            </w:pPr>
            <w:r>
              <w:t xml:space="preserve">Specific Categories of Personally Identifiable Information</w:t>
            </w:r>
          </w:p>
        </w:tc>
        <w:tc>
          <w:tcPr/>
          <w:p>
            <w:pPr>
              <w:pStyle w:val="Compact"/>
            </w:pPr>
            <w:r>
              <w:t xml:space="preserve">PT</w:t>
            </w:r>
          </w:p>
        </w:tc>
        <w:tc>
          <w:tcPr/>
          <w:p>
            <w:pPr>
              <w:pStyle w:val="Compact"/>
            </w:pPr>
            <w:r>
              <w:t xml:space="preserve">Vol IV Bk 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RA-3</w:t>
            </w:r>
          </w:p>
        </w:tc>
        <w:tc>
          <w:tcPr/>
          <w:p>
            <w:pPr>
              <w:pStyle w:val="Compact"/>
            </w:pPr>
            <w:r>
              <w:t xml:space="preserve">Risk Assessment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RA-5(2)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 — Update Vulnerabilities to Be Scanned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RA-5(5)</w:t>
            </w:r>
          </w:p>
        </w:tc>
        <w:tc>
          <w:tcPr/>
          <w:p>
            <w:pPr>
              <w:pStyle w:val="Compact"/>
            </w:pPr>
            <w:r>
              <w:t xml:space="preserve">Vulnerability Monitoring and Scanning — Privileged Access</w:t>
            </w:r>
          </w:p>
        </w:tc>
        <w:tc>
          <w:tcPr/>
          <w:p>
            <w:pPr>
              <w:pStyle w:val="Compact"/>
            </w:pPr>
            <w:r>
              <w:t xml:space="preserve">RA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SA-8</w:t>
            </w:r>
          </w:p>
        </w:tc>
        <w:tc>
          <w:tcPr/>
          <w:p>
            <w:pPr>
              <w:pStyle w:val="Compact"/>
            </w:pPr>
            <w:r>
              <w:t xml:space="preserve">Security and Privacy Engineering Principles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SA-15</w:t>
            </w:r>
          </w:p>
        </w:tc>
        <w:tc>
          <w:tcPr/>
          <w:p>
            <w:pPr>
              <w:pStyle w:val="Compact"/>
            </w:pPr>
            <w:r>
              <w:t xml:space="preserve">Development Process, Standards, and Tools</w:t>
            </w:r>
          </w:p>
        </w:tc>
        <w:tc>
          <w:tcPr/>
          <w:p>
            <w:pPr>
              <w:pStyle w:val="Compact"/>
            </w:pPr>
            <w:r>
              <w:t xml:space="preserve">SA</w:t>
            </w:r>
          </w:p>
        </w:tc>
        <w:tc>
          <w:tcPr/>
          <w:p>
            <w:pPr>
              <w:pStyle w:val="Compact"/>
            </w:pPr>
            <w:r>
              <w:t xml:space="preserve">Vol IV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SC-5</w:t>
            </w:r>
          </w:p>
        </w:tc>
        <w:tc>
          <w:tcPr/>
          <w:p>
            <w:pPr>
              <w:pStyle w:val="Compact"/>
            </w:pPr>
            <w:r>
              <w:t xml:space="preserve">Denial-of-Service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 Bk 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SC-7(3)</w:t>
            </w:r>
          </w:p>
        </w:tc>
        <w:tc>
          <w:tcPr/>
          <w:p>
            <w:pPr>
              <w:pStyle w:val="Compact"/>
            </w:pPr>
            <w:r>
              <w:t xml:space="preserve">Boundary Protection — Access Points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SC-7(5)</w:t>
            </w:r>
          </w:p>
        </w:tc>
        <w:tc>
          <w:tcPr/>
          <w:p>
            <w:pPr>
              <w:pStyle w:val="Compact"/>
            </w:pPr>
            <w:r>
              <w:t xml:space="preserve">Boundary Protection — Deny by Default — Allow by Exception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SC-7(7)</w:t>
            </w:r>
          </w:p>
        </w:tc>
        <w:tc>
          <w:tcPr/>
          <w:p>
            <w:pPr>
              <w:pStyle w:val="Compact"/>
            </w:pPr>
            <w:r>
              <w:t xml:space="preserve">Boundary Protection — Split Tunneling for Remote Devices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SC-12</w:t>
            </w:r>
          </w:p>
        </w:tc>
        <w:tc>
          <w:tcPr/>
          <w:p>
            <w:pPr>
              <w:pStyle w:val="Compact"/>
            </w:pPr>
            <w:r>
              <w:t xml:space="preserve">Cryptographic Key Establishment and Management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 Bk 03, 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SC-12(1)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SC-13</w:t>
            </w:r>
          </w:p>
        </w:tc>
        <w:tc>
          <w:tcPr/>
          <w:p>
            <w:pPr>
              <w:pStyle w:val="Compact"/>
            </w:pPr>
            <w:r>
              <w:t xml:space="preserve">Cryptographic Protection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SC-28</w:t>
            </w:r>
          </w:p>
        </w:tc>
        <w:tc>
          <w:tcPr/>
          <w:p>
            <w:pPr>
              <w:pStyle w:val="Compact"/>
            </w:pPr>
            <w:r>
              <w:t xml:space="preserve">Protection of Information at Rest</w:t>
            </w:r>
          </w:p>
        </w:tc>
        <w:tc>
          <w:tcPr/>
          <w:p>
            <w:pPr>
              <w:pStyle w:val="Compact"/>
            </w:pPr>
            <w:r>
              <w:t xml:space="preserve">SC</w:t>
            </w:r>
          </w:p>
        </w:tc>
        <w:tc>
          <w:tcPr/>
          <w:p>
            <w:pPr>
              <w:pStyle w:val="Compact"/>
            </w:pPr>
            <w:r>
              <w:t xml:space="preserve">Vol II Bk 03, Vol III Bk 05, Vol VI Bk 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SI-4(2)</w:t>
            </w:r>
          </w:p>
        </w:tc>
        <w:tc>
          <w:tcPr/>
          <w:p>
            <w:pPr>
              <w:pStyle w:val="Compact"/>
            </w:pPr>
            <w:r>
              <w:t xml:space="preserve">Automated Tools and Mechanisms for Real-time Analysis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SI-4(4)</w:t>
            </w:r>
          </w:p>
        </w:tc>
        <w:tc>
          <w:tcPr/>
          <w:p>
            <w:pPr>
              <w:pStyle w:val="Compact"/>
            </w:pPr>
            <w:r>
              <w:t xml:space="preserve">Inbound and Outbound Communications Traffic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SI-4(7)</w:t>
            </w:r>
          </w:p>
        </w:tc>
        <w:tc>
          <w:tcPr/>
          <w:p>
            <w:pPr>
              <w:pStyle w:val="Compact"/>
            </w:pPr>
            <w:r>
              <w:t xml:space="preserve">Automated Response to Suspicious Events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SI-5</w:t>
            </w:r>
          </w:p>
        </w:tc>
        <w:tc>
          <w:tcPr/>
          <w:p>
            <w:pPr>
              <w:pStyle w:val="Compact"/>
            </w:pPr>
            <w:r>
              <w:t xml:space="preserve">Security Alerts, Advisories, and Directives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Vol III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SR-1</w:t>
            </w:r>
          </w:p>
        </w:tc>
        <w:tc>
          <w:tcPr/>
          <w:p>
            <w:pPr>
              <w:pStyle w:val="Compact"/>
            </w:pPr>
            <w:r>
              <w:t xml:space="preserve">Policy and Procedures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SR-2</w:t>
            </w:r>
          </w:p>
        </w:tc>
        <w:tc>
          <w:tcPr/>
          <w:p>
            <w:pPr>
              <w:pStyle w:val="Compact"/>
            </w:pPr>
            <w:r>
              <w:t xml:space="preserve">Supply Chain Risk Management Plan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SR-3</w:t>
            </w:r>
          </w:p>
        </w:tc>
        <w:tc>
          <w:tcPr/>
          <w:p>
            <w:pPr>
              <w:pStyle w:val="Compact"/>
            </w:pPr>
            <w:r>
              <w:t xml:space="preserve">Supply Chain Controls and Processes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SR-5</w:t>
            </w:r>
          </w:p>
        </w:tc>
        <w:tc>
          <w:tcPr/>
          <w:p>
            <w:pPr>
              <w:pStyle w:val="Compact"/>
            </w:pPr>
            <w:r>
              <w:t xml:space="preserve">Acquisition Strategies, Tools, and Methods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SR-6</w:t>
            </w:r>
          </w:p>
        </w:tc>
        <w:tc>
          <w:tcPr/>
          <w:p>
            <w:pPr>
              <w:pStyle w:val="Compact"/>
            </w:pPr>
            <w:r>
              <w:t xml:space="preserve">Supplier Assessments and Reviews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SR-8</w:t>
            </w:r>
          </w:p>
        </w:tc>
        <w:tc>
          <w:tcPr/>
          <w:p>
            <w:pPr>
              <w:pStyle w:val="Compact"/>
            </w:pPr>
            <w:r>
              <w:t xml:space="preserve">Notification Agreements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SR-10</w:t>
            </w:r>
          </w:p>
        </w:tc>
        <w:tc>
          <w:tcPr/>
          <w:p>
            <w:pPr>
              <w:pStyle w:val="Compact"/>
            </w:pPr>
            <w:r>
              <w:t xml:space="preserve">Inspection of Systems or Components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SR-11</w:t>
            </w:r>
          </w:p>
        </w:tc>
        <w:tc>
          <w:tcPr/>
          <w:p>
            <w:pPr>
              <w:pStyle w:val="Compact"/>
            </w:pPr>
            <w:r>
              <w:t xml:space="preserve">Component Authenticity</w:t>
            </w:r>
          </w:p>
        </w:tc>
        <w:tc>
          <w:tcPr/>
          <w:p>
            <w:pPr>
              <w:pStyle w:val="Compact"/>
            </w:pPr>
            <w:r>
              <w:t xml:space="preserve">SR</w:t>
            </w:r>
          </w:p>
        </w:tc>
        <w:tc>
          <w:tcPr/>
          <w:p>
            <w:pPr>
              <w:pStyle w:val="Compact"/>
            </w:pPr>
            <w:r>
              <w:t xml:space="preserve">Vol IV Bk 02</w:t>
            </w:r>
          </w:p>
        </w:tc>
      </w:tr>
    </w:tbl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Compliance — Series Control Crosswalk</dc:title>
  <dc:creator>Federal Cloud Services</dc:creator>
  <cp:keywords/>
  <dcterms:created xsi:type="dcterms:W3CDTF">2026-10-19T10:09:46Z</dcterms:created>
  <dcterms:modified xsi:type="dcterms:W3CDTF">2026-10-19T10:09:46Z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2026-07-20 00:10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Appendix: Master NIST SP 800-53 Rev 5 Control -&gt; Volume/Book Index Across the Eleven-Volume Series</vt:lpwstr>
  </property>
  <property fmtid="{D5CDD505-2E9C-101B-9397-08002B2CF9AE}" pid="16" name="toc-title">
    <vt:lpwstr>Table of contents</vt:lpwstr>
  </property>
</Properties>
</file>