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Vol III Book 00 — Federal Compliance — Volume III Overview: Security Operations</w:t>
      </w:r>
    </w:p>
    <w:p>
      <w:pPr>
        <w:pStyle w:val="Subtitle"/>
      </w:pPr>
      <w:r>
        <w:t xml:space="preserve">Volume Purpose — where the Management-Plane Coordination Doctrine is realized</w:t>
      </w:r>
    </w:p>
    <w:p>
      <w:pPr>
        <w:pStyle w:val="Author"/>
      </w:pPr>
      <w:r>
        <w:t xml:space="preserve">Federal Cloud Services</w:t>
      </w:r>
    </w:p>
    <w:p>
      <w:pPr>
        <w:pStyle w:val="Date"/>
      </w:pPr>
      <w:r>
        <w:t xml:space="preserve">2026-07-19 20:20 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9" w:name="draft-proposal-subject-to-review"/>
    <w:p>
      <w:pPr>
        <w:pStyle w:val="Heading2"/>
      </w:pPr>
      <w:r>
        <w:t xml:space="preserve">0.1 Draft Proposal — Subject to Review</w:t>
      </w:r>
    </w:p>
    <w:p>
      <w:pPr>
        <w:pStyle w:val="FirstParagraph"/>
      </w:pPr>
      <w:r>
        <w:t xml:space="preserve">This document is a</w:t>
      </w:r>
      <w:r>
        <w:t xml:space="preserve"> </w:t>
      </w:r>
      <w:r>
        <w:rPr>
          <w:b/>
          <w:bCs/>
        </w:rPr>
        <w:t xml:space="preserve">draft proposal</w:t>
      </w:r>
      <w:r>
        <w:t xml:space="preserve"> </w:t>
      </w:r>
      <w:r>
        <w:t xml:space="preserve">developed by the</w:t>
      </w:r>
      <w:r>
        <w:t xml:space="preserve"> </w:t>
      </w:r>
      <w:r>
        <w:rPr>
          <w:b/>
          <w:bCs/>
        </w:rPr>
        <w:t xml:space="preserve">CSI Team (Cloud Services Infrastructure)</w:t>
      </w:r>
      <w:r>
        <w:t xml:space="preserve">. It has not been reviewed or approved by the Agency CIO Office, the Office of Information Security (OIS), or organizational leadership.</w:t>
      </w:r>
    </w:p>
    <w:p>
      <w:pPr>
        <w:pStyle w:val="BodyText"/>
      </w:pPr>
      <w:r>
        <w:rPr>
          <w:b/>
          <w:bCs/>
        </w:rPr>
        <w:t xml:space="preserve">Date Code:</w:t>
      </w:r>
      <w:r>
        <w:t xml:space="preserve"> </w:t>
      </w:r>
      <w:r>
        <w:t xml:space="preserve">2026-07-19 16:20 ET</w:t>
      </w:r>
    </w:p>
    <w:bookmarkEnd w:id="9"/>
    <w:bookmarkStart w:id="10" w:name="volume-purpose"/>
    <w:p>
      <w:pPr>
        <w:pStyle w:val="Heading1"/>
      </w:pPr>
      <w:r>
        <w:t xml:space="preserve">1. Volume Purpose</w:t>
      </w:r>
    </w:p>
    <w:p>
      <w:pPr>
        <w:pStyle w:val="FirstParagraph"/>
      </w:pPr>
      <w:r>
        <w:rPr>
          <w:b/>
          <w:bCs/>
        </w:rPr>
        <w:t xml:space="preserve">Volume III is where the series’ operational security planes live — and where</w:t>
      </w:r>
      <w:r>
        <w:rPr>
          <w:b/>
          <w:bCs/>
        </w:rPr>
        <w:t xml:space="preserve"> </w:t>
      </w:r>
      <w:r>
        <w:rPr>
          <w:b/>
          <w:bCs/>
        </w:rPr>
        <w:t xml:space="preserve">the Management-Plane Coordination Doctrine (Vol 0 Book 00, Executive Summary) is</w:t>
      </w:r>
      <w:r>
        <w:rPr>
          <w:b/>
          <w:bCs/>
        </w:rPr>
        <w:t xml:space="preserve"> </w:t>
      </w:r>
      <w:r>
        <w:rPr>
          <w:b/>
          <w:bCs/>
        </w:rPr>
        <w:t xml:space="preserve">realized.</w:t>
      </w:r>
      <w:r>
        <w:t xml:space="preserve"> </w:t>
      </w:r>
      <w:r>
        <w:t xml:space="preserve">The doctrine’s split runs through every book here:</w:t>
      </w:r>
      <w:r>
        <w:t xml:space="preserve"> </w:t>
      </w:r>
      <w:r>
        <w:rPr>
          <w:b/>
          <w:bCs/>
        </w:rPr>
        <w:t xml:space="preserve">actuation is</w:t>
      </w:r>
      <w:r>
        <w:rPr>
          <w:b/>
          <w:bCs/>
        </w:rPr>
        <w:t xml:space="preserve"> </w:t>
      </w:r>
      <w:r>
        <w:rPr>
          <w:b/>
          <w:bCs/>
        </w:rPr>
        <w:t xml:space="preserve">platform-native</w:t>
      </w:r>
      <w:r>
        <w:t xml:space="preserve"> </w:t>
      </w:r>
      <w:r>
        <w:t xml:space="preserve">(privileged access, patching, and posture are</w:t>
      </w:r>
      <w:r>
        <w:t xml:space="preserve"> </w:t>
      </w:r>
      <w:r>
        <w:t xml:space="preserve">performed by each platform’s own stack), while</w:t>
      </w:r>
      <w:r>
        <w:t xml:space="preserve"> </w:t>
      </w:r>
      <w:r>
        <w:rPr>
          <w:b/>
          <w:bCs/>
        </w:rPr>
        <w:t xml:space="preserve">governance and evidence are</w:t>
      </w:r>
      <w:r>
        <w:rPr>
          <w:b/>
          <w:bCs/>
        </w:rPr>
        <w:t xml:space="preserve"> </w:t>
      </w:r>
      <w:r>
        <w:rPr>
          <w:b/>
          <w:bCs/>
        </w:rPr>
        <w:t xml:space="preserve">unified</w:t>
      </w:r>
      <w:r>
        <w:t xml:space="preserve"> </w:t>
      </w:r>
      <w:r>
        <w:t xml:space="preserve">into one machine-readable contract that flows to CISA CDM and the</w:t>
      </w:r>
      <w:r>
        <w:t xml:space="preserve"> </w:t>
      </w:r>
      <w:r>
        <w:t xml:space="preserve">FedRAMP 20x KSI pipeline.</w:t>
      </w:r>
    </w:p>
    <w:p>
      <w:pPr>
        <w:pStyle w:val="BodyText"/>
      </w:pPr>
      <w:r>
        <w:t xml:space="preserve">This is the volume that answers, for a genuinely multi-cloud federal estate, the</w:t>
      </w:r>
      <w:r>
        <w:t xml:space="preserve"> </w:t>
      </w:r>
      <w:r>
        <w:t xml:space="preserve">question the doctrine poses:</w:t>
      </w:r>
      <w:r>
        <w:t xml:space="preserve"> </w:t>
      </w:r>
      <w:r>
        <w:rPr>
          <w:i/>
          <w:iCs/>
        </w:rPr>
        <w:t xml:space="preserve">not</w:t>
      </w:r>
      <w:r>
        <w:rPr>
          <w:i/>
          <w:iCs/>
        </w:rPr>
        <w:t xml:space="preserve"> </w:t>
      </w:r>
      <w:r>
        <w:rPr>
          <w:i/>
          <w:iCs/>
        </w:rPr>
        <w:t xml:space="preserve">“which single console runs everything,”</w:t>
      </w:r>
      <w:r>
        <w:rPr>
          <w:i/>
          <w:iCs/>
        </w:rPr>
        <w:t xml:space="preserve"> </w:t>
      </w:r>
      <w:r>
        <w:rPr>
          <w:i/>
          <w:iCs/>
        </w:rPr>
        <w:t xml:space="preserve">but</w:t>
      </w:r>
      <w:r>
        <w:rPr>
          <w:i/>
          <w:iCs/>
        </w:rPr>
        <w:t xml:space="preserve"> </w:t>
      </w:r>
      <w:r>
        <w:rPr>
          <w:i/>
          <w:iCs/>
        </w:rPr>
        <w:t xml:space="preserve">“which native stack actuates, and how does its evidence join the one compliance</w:t>
      </w:r>
      <w:r>
        <w:rPr>
          <w:i/>
          <w:iCs/>
        </w:rPr>
        <w:t xml:space="preserve"> </w:t>
      </w:r>
      <w:r>
        <w:rPr>
          <w:i/>
          <w:iCs/>
        </w:rPr>
        <w:t xml:space="preserve">picture.”</w:t>
      </w:r>
      <w:r>
        <w:t xml:space="preserve"> </w:t>
      </w:r>
      <w:r>
        <w:t xml:space="preserve">The Multi-Cloud Evidence Fabric closes that loop; the other books</w:t>
      </w:r>
      <w:r>
        <w:t xml:space="preserve"> </w:t>
      </w:r>
      <w:r>
        <w:t xml:space="preserve">feed it.</w:t>
      </w:r>
    </w:p>
    <w:bookmarkEnd w:id="10"/>
    <w:bookmarkStart w:id="11" w:name="books-in-this-volume"/>
    <w:p>
      <w:pPr>
        <w:pStyle w:val="Heading1"/>
      </w:pPr>
      <w:r>
        <w:t xml:space="preserve">2. Books in This Volume</w:t>
      </w:r>
    </w:p>
    <w:p>
      <w:pPr>
        <w:pStyle w:val="TableCaption"/>
      </w:pPr>
      <w:r>
        <w:t xml:space="preserve">Volume III — Security Operations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Volume III — Security Operations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III Book 01</w:t>
            </w:r>
          </w:p>
        </w:tc>
        <w:tc>
          <w:tcPr/>
          <w:p>
            <w:pPr>
              <w:pStyle w:val="Compact"/>
            </w:pPr>
            <w:r>
              <w:t xml:space="preserve">Privileged Access Management</w:t>
            </w:r>
          </w:p>
        </w:tc>
        <w:tc>
          <w:tcPr/>
          <w:p>
            <w:pPr>
              <w:pStyle w:val="Compact"/>
            </w:pPr>
            <w:r>
              <w:t xml:space="preserve">Least privilege across clouds — Entra PIM, SailPoint, CyberArk, AWS/OCI IAM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III Book 02</w:t>
            </w:r>
          </w:p>
        </w:tc>
        <w:tc>
          <w:tcPr/>
          <w:p>
            <w:pPr>
              <w:pStyle w:val="Compact"/>
            </w:pPr>
            <w:r>
              <w:t xml:space="preserve">Vulnerability Management</w:t>
            </w:r>
          </w:p>
        </w:tc>
        <w:tc>
          <w:tcPr/>
          <w:p>
            <w:pPr>
              <w:pStyle w:val="Compact"/>
            </w:pPr>
            <w:r>
              <w:t xml:space="preserve">Assessment &amp; prioritization — RA-5, CISA KEV, risk-based SLAs (the</w:t>
            </w:r>
            <w:r>
              <w:t xml:space="preserve"> </w:t>
            </w:r>
            <w:r>
              <w:rPr>
                <w:i/>
                <w:iCs/>
              </w:rPr>
              <w:t xml:space="preserve">scan</w:t>
            </w:r>
            <w:r>
              <w:t xml:space="preserve"> </w:t>
            </w:r>
            <w:r>
              <w:t xml:space="preserve">half)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III Book 03</w:t>
            </w:r>
          </w:p>
        </w:tc>
        <w:tc>
          <w:tcPr/>
          <w:p>
            <w:pPr>
              <w:pStyle w:val="Compact"/>
            </w:pPr>
            <w:r>
              <w:t xml:space="preserve">Patch &amp; Systems Management</w:t>
            </w:r>
          </w:p>
        </w:tc>
        <w:tc>
          <w:tcPr/>
          <w:p>
            <w:pPr>
              <w:pStyle w:val="Compact"/>
            </w:pPr>
            <w:r>
              <w:t xml:space="preserve">Remediation actuation across CSP × OS — SI-2 (the</w:t>
            </w:r>
            <w:r>
              <w:t xml:space="preserve"> </w:t>
            </w:r>
            <w:r>
              <w:rPr>
                <w:i/>
                <w:iCs/>
              </w:rPr>
              <w:t xml:space="preserve">close-it</w:t>
            </w:r>
            <w:r>
              <w:t xml:space="preserve"> </w:t>
            </w:r>
            <w:r>
              <w:t xml:space="preserve">half)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III Book 04</w:t>
            </w:r>
          </w:p>
        </w:tc>
        <w:tc>
          <w:tcPr/>
          <w:p>
            <w:pPr>
              <w:pStyle w:val="Compact"/>
            </w:pPr>
            <w:r>
              <w:t xml:space="preserve">Cloud-Native Security Posture &amp; Containers</w:t>
            </w:r>
          </w:p>
        </w:tc>
        <w:tc>
          <w:tcPr/>
          <w:p>
            <w:pPr>
              <w:pStyle w:val="Compact"/>
            </w:pPr>
            <w:r>
              <w:t xml:space="preserve">CSPM / CNAPP / Kubernetes — misconfiguration, exposure,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III Book 05</w:t>
            </w:r>
          </w:p>
        </w:tc>
        <w:tc>
          <w:tcPr/>
          <w:p>
            <w:pPr>
              <w:pStyle w:val="Compact"/>
            </w:pPr>
            <w:r>
              <w:t xml:space="preserve">Data Protection (Purview)</w:t>
            </w:r>
          </w:p>
        </w:tc>
        <w:tc>
          <w:tcPr/>
          <w:p>
            <w:pPr>
              <w:pStyle w:val="Compact"/>
            </w:pPr>
            <w:r>
              <w:t xml:space="preserve">Classification, DLP, and multi-cloud key management (SC-12/13/28)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III Book 06</w:t>
            </w:r>
          </w:p>
        </w:tc>
        <w:tc>
          <w:tcPr/>
          <w:p>
            <w:pPr>
              <w:pStyle w:val="Compact"/>
            </w:pPr>
            <w:r>
              <w:t xml:space="preserve">SIEM / XDR Detection</w:t>
            </w:r>
          </w:p>
        </w:tc>
        <w:tc>
          <w:tcPr/>
          <w:p>
            <w:pPr>
              <w:pStyle w:val="Compact"/>
            </w:pPr>
            <w:r>
              <w:t xml:space="preserve">Detection engineering — analytics and response over the evidence lake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III Book 07</w:t>
            </w:r>
          </w:p>
        </w:tc>
        <w:tc>
          <w:tcPr/>
          <w:p>
            <w:pPr>
              <w:pStyle w:val="Compact"/>
            </w:pPr>
            <w:r>
              <w:t xml:space="preserve">Multi-Cloud Evidence Fabric</w:t>
            </w:r>
          </w:p>
        </w:tc>
        <w:tc>
          <w:tcPr/>
          <w:p>
            <w:pPr>
              <w:pStyle w:val="Compact"/>
            </w:pPr>
            <w:r>
              <w:t xml:space="preserve">The coordination home — every source’s record → one lake → CDM → KSI</w:t>
            </w:r>
          </w:p>
        </w:tc>
      </w:tr>
    </w:tbl>
    <w:bookmarkEnd w:id="11"/>
    <w:bookmarkStart w:id="12" w:name="how-this-volume-fits-the-program"/>
    <w:p>
      <w:pPr>
        <w:pStyle w:val="Heading1"/>
      </w:pPr>
      <w:r>
        <w:t xml:space="preserve">3. How This Volume Fits the Program</w:t>
      </w:r>
    </w:p>
    <w:p>
      <w:pPr>
        <w:pStyle w:val="FirstParagraph"/>
      </w:pPr>
      <w:r>
        <w:t xml:space="preserve">Volume III</w:t>
      </w:r>
      <w:r>
        <w:t xml:space="preserve"> </w:t>
      </w:r>
      <w:r>
        <w:rPr>
          <w:b/>
          <w:bCs/>
        </w:rPr>
        <w:t xml:space="preserve">depends on</w:t>
      </w:r>
      <w:r>
        <w:t xml:space="preserve"> </w:t>
      </w:r>
      <w:r>
        <w:t xml:space="preserve">Volume I’s naming-plane join key (Vol I Book 01, CM-8)</w:t>
      </w:r>
      <w:r>
        <w:t xml:space="preserve"> </w:t>
      </w:r>
      <w:r>
        <w:t xml:space="preserve">— without one authoritative asset identity, five stacks produce five inventories</w:t>
      </w:r>
      <w:r>
        <w:t xml:space="preserve"> </w:t>
      </w:r>
      <w:r>
        <w:t xml:space="preserve">that cannot be reconciled. It</w:t>
      </w:r>
      <w:r>
        <w:t xml:space="preserve"> </w:t>
      </w:r>
      <w:r>
        <w:rPr>
          <w:b/>
          <w:bCs/>
        </w:rPr>
        <w:t xml:space="preserve">produces</w:t>
      </w:r>
      <w:r>
        <w:t xml:space="preserve"> </w:t>
      </w:r>
      <w:r>
        <w:t xml:space="preserve">the correlated, machine-readable</w:t>
      </w:r>
      <w:r>
        <w:t xml:space="preserve"> </w:t>
      </w:r>
      <w:r>
        <w:t xml:space="preserve">evidence stream (Vol III Book 07) that Volume IV’s Authorization Package &amp; ConMon</w:t>
      </w:r>
      <w:r>
        <w:t xml:space="preserve"> </w:t>
      </w:r>
      <w:r>
        <w:t xml:space="preserve">book (Vol IV Book 06) freezes into the OSCAL bundle. Truth is separated from</w:t>
      </w:r>
      <w:r>
        <w:t xml:space="preserve"> </w:t>
      </w:r>
      <w:r>
        <w:t xml:space="preserve">enforcement throughout: the evidence fabric is a truth plane, depended on; the</w:t>
      </w:r>
      <w:r>
        <w:t xml:space="preserve"> </w:t>
      </w:r>
      <w:r>
        <w:t xml:space="preserve">actuation stacks are enforcement planes, re-platformable per vendor.</w:t>
      </w:r>
    </w:p>
    <w:bookmarkEnd w:id="12"/>
    <w:bookmarkStart w:id="14" w:name="X8370e8c548a65b81ec17d9ad6cc210ed489b073"/>
    <w:p>
      <w:pPr>
        <w:pStyle w:val="Heading1"/>
      </w:pPr>
      <w:r>
        <w:t xml:space="preserve">4. Where This Volume’s Evidence Lands — Volume X (Optional)</w:t>
      </w:r>
    </w:p>
    <w:p>
      <w:pPr>
        <w:pStyle w:val="FirstParagraph"/>
      </w:pPr>
      <w:r>
        <w:t xml:space="preserve">Where the closures and evidence this volume produces bind to the governance</w:t>
      </w:r>
      <w:r>
        <w:t xml:space="preserve"> </w:t>
      </w:r>
      <w:r>
        <w:t xml:space="preserve">substrate — the conformance layer, the surface slots, and the evidence</w:t>
      </w:r>
      <w:r>
        <w:t xml:space="preserve"> </w:t>
      </w:r>
      <w:r>
        <w:t xml:space="preserve">contract — is documented once, for the whole series, in</w:t>
      </w:r>
      <w:r>
        <w:t xml:space="preserve"> </w:t>
      </w:r>
      <w:hyperlink r:id="rId13">
        <w:r>
          <w:rPr>
            <w:rStyle w:val="Hyperlink"/>
            <w:b/>
            <w:bCs/>
          </w:rPr>
          <w:t xml:space="preserve">Vol X Book 00 — Governance-Substrate Integration</w:t>
        </w:r>
      </w:hyperlink>
      <w:r>
        <w:t xml:space="preserve">.</w:t>
      </w:r>
      <w:r>
        <w:t xml:space="preserve"> </w:t>
      </w:r>
      <w:r>
        <w:t xml:space="preserve">The binding is</w:t>
      </w:r>
      <w:r>
        <w:t xml:space="preserve"> </w:t>
      </w:r>
      <w:r>
        <w:rPr>
          <w:b/>
          <w:bCs/>
        </w:rPr>
        <w:t xml:space="preserve">optional and separable</w:t>
      </w:r>
      <w:r>
        <w:t xml:space="preserve">: this volume, and the series it</w:t>
      </w:r>
      <w:r>
        <w:t xml:space="preserve"> </w:t>
      </w:r>
      <w:r>
        <w:t xml:space="preserve">belongs to, stands complete at FedRAMP Moderate with no substrate engagement</w:t>
      </w:r>
      <w:r>
        <w:t xml:space="preserve"> </w:t>
      </w:r>
      <w:r>
        <w:t xml:space="preserve">at all; adopting the substrate adds machine-checked scoring and drift-gating</w:t>
      </w:r>
      <w:r>
        <w:t xml:space="preserve"> </w:t>
      </w:r>
      <w:r>
        <w:t xml:space="preserve">on top of what is already closed, and can be adopted later — or never —</w:t>
      </w:r>
      <w:r>
        <w:t xml:space="preserve"> </w:t>
      </w:r>
      <w:r>
        <w:t xml:space="preserve">without rework.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Vol_X_Book_00_Governance_Substrate_Integration_Overview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Vol_X_Book_00_Governance_Substrate_Integration_Overview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 III Book 00 — Federal Compliance — Volume III Overview: Security Operations</dc:title>
  <dc:creator>Federal Cloud Services</dc:creator>
  <cp:keywords/>
  <dcterms:created xsi:type="dcterms:W3CDTF">2026-10-19T10:09:46Z</dcterms:created>
  <dcterms:modified xsi:type="dcterms:W3CDTF">2026-10-19T10:09:46Z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aliases">
    <vt:lpwstr/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y-author">
    <vt:lpwstr/>
  </property>
  <property fmtid="{D5CDD505-2E9C-101B-9397-08002B2CF9AE}" pid="7" name="date">
    <vt:lpwstr>2026-07-19 20:20 ET</vt:lpwstr>
  </property>
  <property fmtid="{D5CDD505-2E9C-101B-9397-08002B2CF9AE}" pid="8" name="date-format">
    <vt:lpwstr>YYYY-MM-DD HH:mm [ET]</vt:lpwstr>
  </property>
  <property fmtid="{D5CDD505-2E9C-101B-9397-08002B2CF9AE}" pid="9" name="execute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labels">
    <vt:lpwstr/>
  </property>
  <property fmtid="{D5CDD505-2E9C-101B-9397-08002B2CF9AE}" pid="14" name="out-width">
    <vt:lpwstr>100%</vt:lpwstr>
  </property>
  <property fmtid="{D5CDD505-2E9C-101B-9397-08002B2CF9AE}" pid="15" name="subtitle">
    <vt:lpwstr>Volume Purpose — where the Management-Plane Coordination Doctrine is realized</vt:lpwstr>
  </property>
  <property fmtid="{D5CDD505-2E9C-101B-9397-08002B2CF9AE}" pid="16" name="toc-title">
    <vt:lpwstr>Table of contents</vt:lpwstr>
  </property>
</Properties>
</file>