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03 — Federal Compliance — Patch &amp; Systems Management: The SI-2 / CM Closure Plane</w:t>
      </w:r>
    </w:p>
    <w:p>
      <w:pPr>
        <w:pStyle w:val="Subtitle"/>
      </w:pPr>
      <w:r>
        <w:t xml:space="preserve">Flaw Remediation and Configuration State Across Microsoft, AWS, Oracle, VMware, and Red Hat — One Contract, Many Stacks</w:t>
      </w:r>
    </w:p>
    <w:p>
      <w:pPr>
        <w:pStyle w:val="Author"/>
      </w:pPr>
      <w:r>
        <w:t xml:space="preserve">Federal Cloud Services</w:t>
      </w:r>
    </w:p>
    <w:p>
      <w:pPr>
        <w:pStyle w:val="Date"/>
      </w:pPr>
      <w:r>
        <w:t xml:space="preserve">2026-07-19 21:40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17:40 ET</w:t>
      </w:r>
    </w:p>
    <w:bookmarkEnd w:id="9"/>
    <w:p>
      <w:pPr>
        <w:pStyle w:val="BodyText"/>
      </w:pPr>
      <w:r>
        <w:rPr>
          <w:b/>
          <w:bCs/>
        </w:rPr>
        <w:t xml:space="preserve">Provisional position.</w:t>
      </w:r>
      <w:r>
        <w:t xml:space="preserve"> </w:t>
      </w:r>
      <w:r>
        <w:t xml:space="preserve">This book was drafted at temporary series slot 21 to</w:t>
      </w:r>
      <w:r>
        <w:t xml:space="preserve"> </w:t>
      </w:r>
      <w:r>
        <w:t xml:space="preserve">avoid renumbering the series while adjacent books settle. Its intended home is</w:t>
      </w:r>
      <w:r>
        <w:t xml:space="preserve"> </w:t>
      </w:r>
      <w:r>
        <w:t xml:space="preserve">immediately after the Vulnerability Management book (the assessment half), whose</w:t>
      </w:r>
      <w:r>
        <w:t xml:space="preserve"> </w:t>
      </w:r>
      <w:r>
        <w:t xml:space="preserve">remediation half it carries. Cross-references name other books by</w:t>
      </w:r>
      <w:r>
        <w:t xml:space="preserve"> </w:t>
      </w:r>
      <w:r>
        <w:rPr>
          <w:b/>
          <w:bCs/>
        </w:rPr>
        <w:t xml:space="preserve">title and</w:t>
      </w:r>
      <w:r>
        <w:rPr>
          <w:b/>
          <w:bCs/>
        </w:rPr>
        <w:t xml:space="preserve"> </w:t>
      </w:r>
      <w:r>
        <w:rPr>
          <w:b/>
          <w:bCs/>
        </w:rPr>
        <w:t xml:space="preserve">role</w:t>
      </w:r>
      <w:r>
        <w:t xml:space="preserve">, not number, so the series-wide renumber does not break them.</w:t>
      </w:r>
    </w:p>
    <w:p>
      <w:pPr>
        <w:pStyle w:val="BodyText"/>
      </w:pPr>
      <w:r>
        <w:rPr>
          <w:b/>
          <w:bCs/>
        </w:rPr>
        <w:t xml:space="preserve">Series Context</w:t>
      </w:r>
      <w:r>
        <w:t xml:space="preserve"> </w:t>
      </w:r>
      <w:r>
        <w:t xml:space="preserve">— The Vulnerability Management book answers</w:t>
      </w:r>
      <w:r>
        <w:t xml:space="preserve"> </w:t>
      </w:r>
      <w:r>
        <w:rPr>
          <w:i/>
          <w:iCs/>
        </w:rPr>
        <w:t xml:space="preserve">what is</w:t>
      </w:r>
      <w:r>
        <w:rPr>
          <w:i/>
          <w:iCs/>
        </w:rPr>
        <w:t xml:space="preserve"> </w:t>
      </w:r>
      <w:r>
        <w:rPr>
          <w:i/>
          <w:iCs/>
        </w:rPr>
        <w:t xml:space="preserve">unpatched</w:t>
      </w:r>
      <w:r>
        <w:t xml:space="preserve"> </w:t>
      </w:r>
      <w:r>
        <w:t xml:space="preserve">— continuous scanning, CISA KEV cross-reference, risk-based SLAs, and</w:t>
      </w:r>
      <w:r>
        <w:t xml:space="preserve"> </w:t>
      </w:r>
      <w:r>
        <w:t xml:space="preserve">the machine-readable compliance record, worked on the Microsoft/Defender estate.</w:t>
      </w:r>
      <w:r>
        <w:t xml:space="preserve"> </w:t>
      </w:r>
      <w:r>
        <w:t xml:space="preserve">This book answers</w:t>
      </w:r>
      <w:r>
        <w:t xml:space="preserve"> </w:t>
      </w:r>
      <w:r>
        <w:rPr>
          <w:i/>
          <w:iCs/>
        </w:rPr>
        <w:t xml:space="preserve">close it, and keep it closed</w:t>
      </w:r>
      <w:r>
        <w:t xml:space="preserve">: the remediation actuation</w:t>
      </w:r>
      <w:r>
        <w:t xml:space="preserve"> </w:t>
      </w:r>
      <w:r>
        <w:t xml:space="preserve">(SI-2) and configuration state (CM-2 / CM-6) across</w:t>
      </w:r>
      <w:r>
        <w:t xml:space="preserve"> </w:t>
      </w:r>
      <w:r>
        <w:rPr>
          <w:b/>
          <w:bCs/>
        </w:rPr>
        <w:t xml:space="preserve">every</w:t>
      </w:r>
      <w:r>
        <w:t xml:space="preserve"> </w:t>
      </w:r>
      <w:r>
        <w:t xml:space="preserve">cloud platform the</w:t>
      </w:r>
      <w:r>
        <w:t xml:space="preserve"> </w:t>
      </w:r>
      <w:r>
        <w:t xml:space="preserve">agency runs — not just the Azure/Intune stack. It is the realization of the</w:t>
      </w:r>
      <w:r>
        <w:t xml:space="preserve"> </w:t>
      </w:r>
      <w:r>
        <w:t xml:space="preserve">Configuration &amp; Remediation plane (plane 7) and of the Management-Plane</w:t>
      </w:r>
      <w:r>
        <w:t xml:space="preserve"> </w:t>
      </w:r>
      <w:r>
        <w:t xml:space="preserve">Coordination Doctrine stated in the Executive Summary.</w:t>
      </w:r>
    </w:p>
    <w:bookmarkStart w:id="10" w:name="what-this-document-addresses"/>
    <w:p>
      <w:pPr>
        <w:pStyle w:val="Heading1"/>
      </w:pPr>
      <w:r>
        <w:t xml:space="preserve">1. What This Document Addresses</w:t>
      </w:r>
    </w:p>
    <w:p>
      <w:pPr>
        <w:pStyle w:val="FirstParagraph"/>
      </w:pPr>
      <w:r>
        <w:t xml:space="preserve">The Vulnerability Management book demonstrated flaw remediation on one stack:</w:t>
      </w:r>
      <w:r>
        <w:t xml:space="preserve"> </w:t>
      </w:r>
      <w:r>
        <w:t xml:space="preserve">Microsoft Defender Vulnerability Management for assessment, Intune Windows Update</w:t>
      </w:r>
      <w:r>
        <w:t xml:space="preserve"> </w:t>
      </w:r>
      <w:r>
        <w:t xml:space="preserve">for Business and Azure Update Manager for delivery, all riding the Azure Arc</w:t>
      </w:r>
      <w:r>
        <w:t xml:space="preserve"> </w:t>
      </w:r>
      <w:r>
        <w:t xml:space="preserve">channel. That is a complete and correct</w:t>
      </w:r>
      <w:r>
        <w:t xml:space="preserve"> </w:t>
      </w:r>
      <w:r>
        <w:rPr>
          <w:i/>
          <w:iCs/>
        </w:rPr>
        <w:t xml:space="preserve">reference implementation</w:t>
      </w:r>
      <w:r>
        <w:t xml:space="preserve"> </w:t>
      </w:r>
      <w:r>
        <w:t xml:space="preserve">— for the</w:t>
      </w:r>
      <w:r>
        <w:t xml:space="preserve"> </w:t>
      </w:r>
      <w:r>
        <w:t xml:space="preserve">Azure estate. It is not the whole estate.</w:t>
      </w:r>
    </w:p>
    <w:p>
      <w:pPr>
        <w:pStyle w:val="BodyText"/>
      </w:pPr>
      <w:r>
        <w:t xml:space="preserve">A federal agency operating under FedRAMP Moderate typically runs compute on more</w:t>
      </w:r>
      <w:r>
        <w:t xml:space="preserve"> </w:t>
      </w:r>
      <w:r>
        <w:t xml:space="preserve">than one authorized platform at once: Azure Government / M365 GCC,</w:t>
      </w:r>
      <w:r>
        <w:t xml:space="preserve"> </w:t>
      </w:r>
      <w:r>
        <w:rPr>
          <w:b/>
          <w:bCs/>
        </w:rPr>
        <w:t xml:space="preserve">AWS</w:t>
      </w:r>
      <w:r>
        <w:rPr>
          <w:b/>
          <w:bCs/>
        </w:rPr>
        <w:t xml:space="preserve"> </w:t>
      </w:r>
      <w:r>
        <w:rPr>
          <w:b/>
          <w:bCs/>
        </w:rPr>
        <w:t xml:space="preserve">GovCloud</w:t>
      </w:r>
      <w:r>
        <w:t xml:space="preserve">,</w:t>
      </w:r>
      <w:r>
        <w:t xml:space="preserve"> </w:t>
      </w:r>
      <w:r>
        <w:rPr>
          <w:b/>
          <w:bCs/>
        </w:rPr>
        <w:t xml:space="preserve">Oracle Cloud Infrastructure (OCI)</w:t>
      </w:r>
      <w:r>
        <w:t xml:space="preserve">, on-premises</w:t>
      </w:r>
      <w:r>
        <w:t xml:space="preserve"> </w:t>
      </w:r>
      <w:r>
        <w:rPr>
          <w:b/>
          <w:bCs/>
        </w:rPr>
        <w:t xml:space="preserve">VMware</w:t>
      </w:r>
      <w:r>
        <w:t xml:space="preserve">, and</w:t>
      </w:r>
      <w:r>
        <w:t xml:space="preserve"> </w:t>
      </w:r>
      <w:r>
        <w:rPr>
          <w:b/>
          <w:bCs/>
        </w:rPr>
        <w:t xml:space="preserve">Red Hat</w:t>
      </w:r>
      <w:r>
        <w:t xml:space="preserve"> </w:t>
      </w:r>
      <w:r>
        <w:t xml:space="preserve">across all of them. Each platform ships its own patch and</w:t>
      </w:r>
      <w:r>
        <w:t xml:space="preserve"> </w:t>
      </w:r>
      <w:r>
        <w:t xml:space="preserve">systems-management stack, each spanning Windows, Linux, and — above the guest OS</w:t>
      </w:r>
      <w:r>
        <w:t xml:space="preserve"> </w:t>
      </w:r>
      <w:r>
        <w:t xml:space="preserve">— hypervisor, firmware, and managed-service layers that no single vendor’s tool</w:t>
      </w:r>
      <w:r>
        <w:t xml:space="preserve"> </w:t>
      </w:r>
      <w:r>
        <w:t xml:space="preserve">reaches. The question this book answers is the one the coordination doctrine</w:t>
      </w:r>
      <w:r>
        <w:t xml:space="preserve"> </w:t>
      </w:r>
      <w:r>
        <w:t xml:space="preserve">poses:</w:t>
      </w:r>
    </w:p>
    <w:p>
      <w:pPr>
        <w:pStyle w:val="BlockText"/>
      </w:pPr>
      <w:r>
        <w:rPr>
          <w:b/>
          <w:bCs/>
        </w:rPr>
        <w:t xml:space="preserve">Is SI-2 closed by forcing every workload under one Microsoft plane (Intune /</w:t>
      </w:r>
      <w:r>
        <w:rPr>
          <w:b/>
          <w:bCs/>
        </w:rPr>
        <w:t xml:space="preserve"> </w:t>
      </w:r>
      <w:r>
        <w:rPr>
          <w:b/>
          <w:bCs/>
        </w:rPr>
        <w:t xml:space="preserve">Azure Arc), or by each platform’s native stack coordinated through a common</w:t>
      </w:r>
      <w:r>
        <w:rPr>
          <w:b/>
          <w:bCs/>
        </w:rPr>
        <w:t xml:space="preserve"> </w:t>
      </w:r>
      <w:r>
        <w:rPr>
          <w:b/>
          <w:bCs/>
        </w:rPr>
        <w:t xml:space="preserve">contract? And if the latter, what is the contract?</w:t>
      </w:r>
    </w:p>
    <w:p>
      <w:pPr>
        <w:pStyle w:val="FirstParagraph"/>
      </w:pPr>
      <w:r>
        <w:t xml:space="preserve">The answer, per doctrine:</w:t>
      </w:r>
      <w:r>
        <w:t xml:space="preserve"> </w:t>
      </w:r>
      <w:r>
        <w:rPr>
          <w:b/>
          <w:bCs/>
        </w:rPr>
        <w:t xml:space="preserve">actuation is platform-native; governance is</w:t>
      </w:r>
      <w:r>
        <w:rPr>
          <w:b/>
          <w:bCs/>
        </w:rPr>
        <w:t xml:space="preserve"> </w:t>
      </w:r>
      <w:r>
        <w:rPr>
          <w:b/>
          <w:bCs/>
        </w:rPr>
        <w:t xml:space="preserve">unified.</w:t>
      </w:r>
      <w:r>
        <w:t xml:space="preserve"> </w:t>
      </w:r>
      <w:r>
        <w:t xml:space="preserve">This book gives the actuation matrix, defines the unifying contract,</w:t>
      </w:r>
      <w:r>
        <w:t xml:space="preserve"> </w:t>
      </w:r>
      <w:r>
        <w:t xml:space="preserve">and maps both to the SI-2 and CM control families.</w:t>
      </w:r>
    </w:p>
    <w:bookmarkEnd w:id="10"/>
    <w:bookmarkStart w:id="11" w:name="Xc141951c439f2a1233cfd438498c064ab25b6d6"/>
    <w:p>
      <w:pPr>
        <w:pStyle w:val="Heading1"/>
      </w:pPr>
      <w:r>
        <w:t xml:space="preserve">2. The Shared-Responsibility Line Is the SI-2 Scoping Rule</w:t>
      </w:r>
    </w:p>
    <w:p>
      <w:pPr>
        <w:pStyle w:val="FirstParagraph"/>
      </w:pPr>
      <w:r>
        <w:t xml:space="preserve">SI-2 (Flaw Remediation) does not apply uniformly to every layer of a cloud</w:t>
      </w:r>
      <w:r>
        <w:t xml:space="preserve"> </w:t>
      </w:r>
      <w:r>
        <w:t xml:space="preserve">service — it applies to the layer the</w:t>
      </w:r>
      <w:r>
        <w:t xml:space="preserve"> </w:t>
      </w:r>
      <w:r>
        <w:rPr>
          <w:i/>
          <w:iCs/>
        </w:rPr>
        <w:t xml:space="preserve">customer</w:t>
      </w:r>
      <w:r>
        <w:t xml:space="preserve"> </w:t>
      </w:r>
      <w:r>
        <w:t xml:space="preserve">operates. The shared-</w:t>
      </w:r>
      <w:r>
        <w:t xml:space="preserve"> </w:t>
      </w:r>
      <w:r>
        <w:t xml:space="preserve">responsibility line moves by service model, and it moves the SI-2 obligation</w:t>
      </w:r>
      <w:r>
        <w:t xml:space="preserve"> </w:t>
      </w:r>
      <w:r>
        <w:t xml:space="preserve">with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 model</w:t>
            </w:r>
          </w:p>
        </w:tc>
        <w:tc>
          <w:tcPr/>
          <w:p>
            <w:pPr>
              <w:pStyle w:val="Compact"/>
            </w:pPr>
            <w:r>
              <w:t xml:space="preserve">Who patches the OS</w:t>
            </w:r>
          </w:p>
        </w:tc>
        <w:tc>
          <w:tcPr/>
          <w:p>
            <w:pPr>
              <w:pStyle w:val="Compact"/>
            </w:pPr>
            <w:r>
              <w:t xml:space="preserve">Who patches the platform</w:t>
            </w:r>
          </w:p>
        </w:tc>
        <w:tc>
          <w:tcPr/>
          <w:p>
            <w:pPr>
              <w:pStyle w:val="Compact"/>
            </w:pPr>
            <w:r>
              <w:t xml:space="preserve">Agency SI-2 scope</w:t>
            </w:r>
          </w:p>
        </w:tc>
      </w:tr>
      <w:tr>
        <w:tc>
          <w:tcPr/>
          <w:p>
            <w:pPr>
              <w:pStyle w:val="Compact"/>
            </w:pPr>
            <w:r>
              <w:rPr>
                <w:b/>
                <w:bCs/>
              </w:rPr>
              <w:t xml:space="preserve">IaaS</w:t>
            </w:r>
            <w:r>
              <w:t xml:space="preserve"> </w:t>
            </w:r>
            <w:r>
              <w:t xml:space="preserve">(VM on any CSP)</w:t>
            </w:r>
          </w:p>
        </w:tc>
        <w:tc>
          <w:tcPr/>
          <w:p>
            <w:pPr>
              <w:pStyle w:val="Compact"/>
            </w:pPr>
            <w:r>
              <w:t xml:space="preserve">Agency</w:t>
            </w:r>
          </w:p>
        </w:tc>
        <w:tc>
          <w:tcPr/>
          <w:p>
            <w:pPr>
              <w:pStyle w:val="Compact"/>
            </w:pPr>
            <w:r>
              <w:t xml:space="preserve">CSP (hypervisor, host)</w:t>
            </w:r>
          </w:p>
        </w:tc>
        <w:tc>
          <w:tcPr/>
          <w:p>
            <w:pPr>
              <w:pStyle w:val="Compact"/>
            </w:pPr>
            <w:r>
              <w:t xml:space="preserve">Full guest-OS remediation is the agency’s</w:t>
            </w:r>
          </w:p>
        </w:tc>
      </w:tr>
      <w:tr>
        <w:tc>
          <w:tcPr/>
          <w:p>
            <w:pPr>
              <w:pStyle w:val="Compact"/>
            </w:pPr>
            <w:r>
              <w:rPr>
                <w:b/>
                <w:bCs/>
              </w:rPr>
              <w:t xml:space="preserve">PaaS</w:t>
            </w:r>
            <w:r>
              <w:t xml:space="preserve"> </w:t>
            </w:r>
            <w:r>
              <w:t xml:space="preserve">(managed DB, functions)</w:t>
            </w:r>
          </w:p>
        </w:tc>
        <w:tc>
          <w:tcPr/>
          <w:p>
            <w:pPr>
              <w:pStyle w:val="Compact"/>
            </w:pPr>
            <w:r>
              <w:t xml:space="preserve">CSP</w:t>
            </w:r>
          </w:p>
        </w:tc>
        <w:tc>
          <w:tcPr/>
          <w:p>
            <w:pPr>
              <w:pStyle w:val="Compact"/>
            </w:pPr>
            <w:r>
              <w:t xml:space="preserve">CSP</w:t>
            </w:r>
          </w:p>
        </w:tc>
        <w:tc>
          <w:tcPr/>
          <w:p>
            <w:pPr>
              <w:pStyle w:val="Compact"/>
            </w:pPr>
            <w:r>
              <w:t xml:space="preserve">Agency remediates only app/config layers it controls</w:t>
            </w:r>
          </w:p>
        </w:tc>
      </w:tr>
      <w:tr>
        <w:tc>
          <w:tcPr/>
          <w:p>
            <w:pPr>
              <w:pStyle w:val="Compact"/>
            </w:pPr>
            <w:r>
              <w:rPr>
                <w:b/>
                <w:bCs/>
              </w:rPr>
              <w:t xml:space="preserve">SaaS</w:t>
            </w:r>
            <w:r>
              <w:t xml:space="preserve"> </w:t>
            </w:r>
            <w:r>
              <w:t xml:space="preserve">(M365, managed apps)</w:t>
            </w:r>
          </w:p>
        </w:tc>
        <w:tc>
          <w:tcPr/>
          <w:p>
            <w:pPr>
              <w:pStyle w:val="Compact"/>
            </w:pPr>
            <w:r>
              <w:t xml:space="preserve">CSP</w:t>
            </w:r>
          </w:p>
        </w:tc>
        <w:tc>
          <w:tcPr/>
          <w:p>
            <w:pPr>
              <w:pStyle w:val="Compact"/>
            </w:pPr>
            <w:r>
              <w:t xml:space="preserve">CSP</w:t>
            </w:r>
          </w:p>
        </w:tc>
        <w:tc>
          <w:tcPr/>
          <w:p>
            <w:pPr>
              <w:pStyle w:val="Compact"/>
            </w:pPr>
            <w:r>
              <w:t xml:space="preserve">Agency SI-2 scope is tenant configuration, not patching</w:t>
            </w:r>
          </w:p>
        </w:tc>
      </w:tr>
    </w:tbl>
    <w:p>
      <w:pPr>
        <w:pStyle w:val="BodyText"/>
      </w:pPr>
      <w:r>
        <w:t xml:space="preserve">The scoping rule is therefore:</w:t>
      </w:r>
      <w:r>
        <w:t xml:space="preserve"> </w:t>
      </w:r>
      <w:r>
        <w:rPr>
          <w:b/>
          <w:bCs/>
        </w:rPr>
        <w:t xml:space="preserve">enumerate the estate by service model first;</w:t>
      </w:r>
      <w:r>
        <w:rPr>
          <w:b/>
          <w:bCs/>
        </w:rPr>
        <w:t xml:space="preserve"> </w:t>
      </w:r>
      <w:r>
        <w:rPr>
          <w:b/>
          <w:bCs/>
        </w:rPr>
        <w:t xml:space="preserve">SI-2 obligations fall only where the agency operates the OS or the application.</w:t>
      </w:r>
      <w:r>
        <w:t xml:space="preserve"> </w:t>
      </w:r>
      <w:r>
        <w:t xml:space="preserve">A common assessment error is claiming SI-2 evidence for a fully managed PaaS</w:t>
      </w:r>
      <w:r>
        <w:t xml:space="preserve"> </w:t>
      </w:r>
      <w:r>
        <w:t xml:space="preserve">database (the CSP patches it) or, worse,</w:t>
      </w:r>
      <w:r>
        <w:t xml:space="preserve"> </w:t>
      </w:r>
      <w:r>
        <w:rPr>
          <w:i/>
          <w:iCs/>
        </w:rPr>
        <w:t xml:space="preserve">failing</w:t>
      </w:r>
      <w:r>
        <w:t xml:space="preserve"> </w:t>
      </w:r>
      <w:r>
        <w:t xml:space="preserve">to claim it for an IaaS VM</w:t>
      </w:r>
      <w:r>
        <w:t xml:space="preserve"> </w:t>
      </w:r>
      <w:r>
        <w:t xml:space="preserve">because</w:t>
      </w:r>
      <w:r>
        <w:t xml:space="preserve"> </w:t>
      </w:r>
      <w:r>
        <w:t xml:space="preserve">“it’s in the cloud”</w:t>
      </w:r>
      <w:r>
        <w:t xml:space="preserve"> </w:t>
      </w:r>
      <w:r>
        <w:t xml:space="preserve">(the agency patches it). The line, not the location,</w:t>
      </w:r>
      <w:r>
        <w:t xml:space="preserve"> </w:t>
      </w:r>
      <w:r>
        <w:t xml:space="preserve">decides.</w:t>
      </w:r>
    </w:p>
    <w:bookmarkEnd w:id="11"/>
    <w:bookmarkStart w:id="12" w:name="Xc7d8f15beb7eedfb3c63ca540177ab98d1e4025"/>
    <w:p>
      <w:pPr>
        <w:pStyle w:val="Heading1"/>
      </w:pPr>
      <w:r>
        <w:t xml:space="preserve">3. Scanner ≠ Remediation — the Handoff From Vulnerability Management</w:t>
      </w:r>
    </w:p>
    <w:p>
      <w:pPr>
        <w:pStyle w:val="FirstParagraph"/>
      </w:pPr>
      <w:r>
        <w:t xml:space="preserve">The Vulnerability Management book measures the gap (RA-5): which asset is missing</w:t>
      </w:r>
      <w:r>
        <w:t xml:space="preserve"> </w:t>
      </w:r>
      <w:r>
        <w:t xml:space="preserve">which patch, cross-referenced to the KEV catalog, ranked by a risk-based SLA.</w:t>
      </w:r>
      <w:r>
        <w:t xml:space="preserve"> </w:t>
      </w:r>
      <w:r>
        <w:t xml:space="preserve">That is assessment. It does not, by itself, apply a single patch.</w:t>
      </w:r>
      <w:r>
        <w:t xml:space="preserve"> </w:t>
      </w:r>
      <w:r>
        <w:rPr>
          <w:b/>
          <w:bCs/>
        </w:rPr>
        <w:t xml:space="preserve">A scanner</w:t>
      </w:r>
      <w:r>
        <w:rPr>
          <w:b/>
          <w:bCs/>
        </w:rPr>
        <w:t xml:space="preserve"> </w:t>
      </w:r>
      <w:r>
        <w:rPr>
          <w:b/>
          <w:bCs/>
        </w:rPr>
        <w:t xml:space="preserve">authors no state; it measures drift from one.</w:t>
      </w:r>
      <w:r>
        <w:t xml:space="preserve"> </w:t>
      </w:r>
      <w:r>
        <w:t xml:space="preserve">SI-2 is the act of closing the</w:t>
      </w:r>
      <w:r>
        <w:t xml:space="preserve"> </w:t>
      </w:r>
      <w:r>
        <w:t xml:space="preserve">gap the scanner found — and closing it is platform-specific work performed by a</w:t>
      </w:r>
      <w:r>
        <w:t xml:space="preserve"> </w:t>
      </w:r>
      <w:r>
        <w:t xml:space="preserve">patch-orchestration stack, not by the scanner.</w:t>
      </w:r>
    </w:p>
    <w:p>
      <w:pPr>
        <w:pStyle w:val="BodyText"/>
      </w:pPr>
      <w:r>
        <w:t xml:space="preserve">The handoff is a contract, not a merge: Vulnerability Management emits a</w:t>
      </w:r>
      <w:r>
        <w:t xml:space="preserve"> </w:t>
      </w:r>
      <w:r>
        <w:t xml:space="preserve">prioritized, KEV-weighted patch queue keyed to authoritative asset identity;</w:t>
      </w:r>
      <w:r>
        <w:t xml:space="preserve"> </w:t>
      </w:r>
      <w:r>
        <w:t xml:space="preserve">this book’s actuation stacks consume that queue on their respective platforms and</w:t>
      </w:r>
      <w:r>
        <w:t xml:space="preserve"> </w:t>
      </w:r>
      <w:r>
        <w:t xml:space="preserve">emit a remediation-status record back. Neither book duplicates the other.</w:t>
      </w:r>
    </w:p>
    <w:bookmarkEnd w:id="12"/>
    <w:bookmarkStart w:id="16" w:name="the-coordination-doctrine-applied"/>
    <w:p>
      <w:pPr>
        <w:pStyle w:val="Heading1"/>
      </w:pPr>
      <w:r>
        <w:t xml:space="preserve">4. The Coordination Doctrine, Applied</w:t>
      </w:r>
    </w:p>
    <w:bookmarkStart w:id="13" w:name="actuation-is-platform-native"/>
    <w:p>
      <w:pPr>
        <w:pStyle w:val="Heading2"/>
      </w:pPr>
      <w:r>
        <w:t xml:space="preserve">4.1 Actuation Is Platform-Native</w:t>
      </w:r>
    </w:p>
    <w:p>
      <w:pPr>
        <w:pStyle w:val="FirstParagraph"/>
      </w:pPr>
      <w:r>
        <w:t xml:space="preserve">Each platform patches with the stack its support model requires. Forcing an</w:t>
      </w:r>
      <w:r>
        <w:t xml:space="preserve"> </w:t>
      </w:r>
      <w:r>
        <w:t xml:space="preserve">overlay past that boundary breaks support and, often, physics (you cannot patch</w:t>
      </w:r>
      <w:r>
        <w:t xml:space="preserve"> </w:t>
      </w:r>
      <w:r>
        <w:t xml:space="preserve">an ESXi hypervisor with a guest-OS agent).</w:t>
      </w:r>
    </w:p>
    <w:p>
      <w:pPr>
        <w:pStyle w:val="TableCaption"/>
      </w:pPr>
      <w:r>
        <w:t xml:space="preserve">Actuation Stacks by Platform and Layer — the SI-2 Mechanism per Cell</w:t>
      </w:r>
    </w:p>
    <w:tbl>
      <w:tblPr>
        <w:tblStyle w:val="Table"/>
        <w:tblW w:type="pct" w:w="5000"/>
        <w:tblLayout w:type="fixed"/>
        <w:tblLook w:firstRow="1" w:lastRow="0" w:firstColumn="0" w:lastColumn="0" w:noHBand="0" w:noVBand="0" w:val="0020"/>
        <w:tblCaption w:val="Actuation Stacks by Platform and Layer — the SI-2 Mechanism per Cell"/>
      </w:tblPr>
      <w:tblGrid>
        <w:gridCol w:w="1320"/>
        <w:gridCol w:w="1320"/>
        <w:gridCol w:w="1320"/>
        <w:gridCol w:w="1320"/>
        <w:gridCol w:w="1320"/>
        <w:gridCol w:w="1320"/>
      </w:tblGrid>
      <w:tr>
        <w:trPr>
          <w:tblHeader w:val="on"/>
        </w:trPr>
        <w:tc>
          <w:tcPr/>
          <w:p>
            <w:pPr>
              <w:pStyle w:val="Compact"/>
            </w:pPr>
            <w:r>
              <w:t xml:space="preserve">Platform</w:t>
            </w:r>
          </w:p>
        </w:tc>
        <w:tc>
          <w:tcPr/>
          <w:p>
            <w:pPr>
              <w:pStyle w:val="Compact"/>
            </w:pPr>
            <w:r>
              <w:t xml:space="preserve">Windows</w:t>
            </w:r>
          </w:p>
        </w:tc>
        <w:tc>
          <w:tcPr/>
          <w:p>
            <w:pPr>
              <w:pStyle w:val="Compact"/>
            </w:pPr>
            <w:r>
              <w:t xml:space="preserve">Linux</w:t>
            </w:r>
          </w:p>
        </w:tc>
        <w:tc>
          <w:tcPr/>
          <w:p>
            <w:pPr>
              <w:pStyle w:val="Compact"/>
            </w:pPr>
            <w:r>
              <w:t xml:space="preserve">macOS / mobile</w:t>
            </w:r>
          </w:p>
        </w:tc>
        <w:tc>
          <w:tcPr/>
          <w:p>
            <w:pPr>
              <w:pStyle w:val="Compact"/>
            </w:pPr>
            <w:r>
              <w:t xml:space="preserve">Hypervisor / firmware</w:t>
            </w:r>
          </w:p>
        </w:tc>
        <w:tc>
          <w:tcPr/>
          <w:p>
            <w:pPr>
              <w:pStyle w:val="Compact"/>
            </w:pPr>
            <w:r>
              <w:t xml:space="preserve">Managed-service (PaaS/SaaS)</w:t>
            </w:r>
          </w:p>
        </w:tc>
      </w:tr>
      <w:tr>
        <w:tc>
          <w:tcPr/>
          <w:p>
            <w:pPr>
              <w:pStyle w:val="Compact"/>
            </w:pPr>
            <w:r>
              <w:rPr>
                <w:b/>
                <w:bCs/>
              </w:rPr>
              <w:t xml:space="preserve">Microsoft</w:t>
            </w:r>
          </w:p>
        </w:tc>
        <w:tc>
          <w:tcPr/>
          <w:p>
            <w:pPr>
              <w:pStyle w:val="Compact"/>
            </w:pPr>
            <w:r>
              <w:t xml:space="preserve">WUfB / Autopatch; MECM/WSUS (legacy)</w:t>
            </w:r>
          </w:p>
        </w:tc>
        <w:tc>
          <w:tcPr/>
          <w:p>
            <w:pPr>
              <w:pStyle w:val="Compact"/>
            </w:pPr>
            <w:r>
              <w:t xml:space="preserve">Azure Update Manager (+ Arc)</w:t>
            </w:r>
          </w:p>
        </w:tc>
        <w:tc>
          <w:tcPr/>
          <w:p>
            <w:pPr>
              <w:pStyle w:val="Compact"/>
            </w:pPr>
            <w:r>
              <w:t xml:space="preserve">Intune</w:t>
            </w:r>
          </w:p>
        </w:tc>
        <w:tc>
          <w:tcPr/>
          <w:p>
            <w:pPr>
              <w:pStyle w:val="Compact"/>
            </w:pPr>
            <w:r>
              <w:t xml:space="preserve">—</w:t>
            </w:r>
          </w:p>
        </w:tc>
        <w:tc>
          <w:tcPr/>
          <w:p>
            <w:pPr>
              <w:pStyle w:val="Compact"/>
            </w:pPr>
            <w:r>
              <w:t xml:space="preserve">M365 / managed DB — CSP-patched</w:t>
            </w:r>
          </w:p>
        </w:tc>
      </w:tr>
      <w:tr>
        <w:tc>
          <w:tcPr/>
          <w:p>
            <w:pPr>
              <w:pStyle w:val="Compact"/>
            </w:pPr>
            <w:r>
              <w:rPr>
                <w:b/>
                <w:bCs/>
              </w:rPr>
              <w:t xml:space="preserve">AWS</w:t>
            </w:r>
          </w:p>
        </w:tc>
        <w:tc>
          <w:tcPr/>
          <w:p>
            <w:pPr>
              <w:pStyle w:val="Compact"/>
            </w:pPr>
            <w:r>
              <w:t xml:space="preserve">SSM Patch Manager</w:t>
            </w:r>
          </w:p>
        </w:tc>
        <w:tc>
          <w:tcPr/>
          <w:p>
            <w:pPr>
              <w:pStyle w:val="Compact"/>
            </w:pPr>
            <w:r>
              <w:t xml:space="preserve">SSM Patch Manager</w:t>
            </w:r>
          </w:p>
        </w:tc>
        <w:tc>
          <w:tcPr/>
          <w:p>
            <w:pPr>
              <w:pStyle w:val="Compact"/>
            </w:pPr>
            <w:r>
              <w:t xml:space="preserve">—</w:t>
            </w:r>
          </w:p>
        </w:tc>
        <w:tc>
          <w:tcPr/>
          <w:p>
            <w:pPr>
              <w:pStyle w:val="Compact"/>
            </w:pPr>
            <w:r>
              <w:t xml:space="preserve">EC2 Image Builder (golden AMI)</w:t>
            </w:r>
          </w:p>
        </w:tc>
        <w:tc>
          <w:tcPr/>
          <w:p>
            <w:pPr>
              <w:pStyle w:val="Compact"/>
            </w:pPr>
            <w:r>
              <w:t xml:space="preserve">RDS / Lambda — CSP-patched</w:t>
            </w:r>
          </w:p>
        </w:tc>
      </w:tr>
      <w:tr>
        <w:tc>
          <w:tcPr/>
          <w:p>
            <w:pPr>
              <w:pStyle w:val="Compact"/>
            </w:pPr>
            <w:r>
              <w:rPr>
                <w:b/>
                <w:bCs/>
              </w:rPr>
              <w:t xml:space="preserve">Oracle (OCI)</w:t>
            </w:r>
          </w:p>
        </w:tc>
        <w:tc>
          <w:tcPr/>
          <w:p>
            <w:pPr>
              <w:pStyle w:val="Compact"/>
            </w:pPr>
            <w:r>
              <w:t xml:space="preserve">OS Management Hub</w:t>
            </w:r>
          </w:p>
        </w:tc>
        <w:tc>
          <w:tcPr/>
          <w:p>
            <w:pPr>
              <w:pStyle w:val="Compact"/>
            </w:pPr>
            <w:r>
              <w:t xml:space="preserve">OS Management Hub;</w:t>
            </w:r>
            <w:r>
              <w:t xml:space="preserve"> </w:t>
            </w:r>
            <w:r>
              <w:rPr>
                <w:b/>
                <w:bCs/>
              </w:rPr>
              <w:t xml:space="preserve">Ksplice</w:t>
            </w:r>
            <w:r>
              <w:t xml:space="preserve"> </w:t>
            </w:r>
            <w:r>
              <w:t xml:space="preserve">(zero-downtime kernel)</w:t>
            </w:r>
          </w:p>
        </w:tc>
        <w:tc>
          <w:tcPr/>
          <w:p>
            <w:pPr>
              <w:pStyle w:val="Compact"/>
            </w:pPr>
            <w:r>
              <w:t xml:space="preserve">—</w:t>
            </w:r>
          </w:p>
        </w:tc>
        <w:tc>
          <w:tcPr/>
          <w:p>
            <w:pPr>
              <w:pStyle w:val="Compact"/>
            </w:pPr>
            <w:r>
              <w:t xml:space="preserve">—</w:t>
            </w:r>
          </w:p>
        </w:tc>
        <w:tc>
          <w:tcPr/>
          <w:p>
            <w:pPr>
              <w:pStyle w:val="Compact"/>
            </w:pPr>
            <w:r>
              <w:t xml:space="preserve">Autonomous DB — self-patching</w:t>
            </w:r>
          </w:p>
        </w:tc>
      </w:tr>
      <w:tr>
        <w:tc>
          <w:tcPr/>
          <w:p>
            <w:pPr>
              <w:pStyle w:val="Compact"/>
            </w:pPr>
            <w:r>
              <w:rPr>
                <w:b/>
                <w:bCs/>
              </w:rPr>
              <w:t xml:space="preserve">VMware</w:t>
            </w:r>
          </w:p>
        </w:tc>
        <w:tc>
          <w:tcPr/>
          <w:p>
            <w:pPr>
              <w:pStyle w:val="Compact"/>
            </w:pPr>
            <w:r>
              <w:t xml:space="preserve">Workspace ONE</w:t>
            </w:r>
          </w:p>
        </w:tc>
        <w:tc>
          <w:tcPr/>
          <w:p>
            <w:pPr>
              <w:pStyle w:val="Compact"/>
            </w:pPr>
            <w:r>
              <w:t xml:space="preserve">Workspace ONE</w:t>
            </w:r>
          </w:p>
        </w:tc>
        <w:tc>
          <w:tcPr/>
          <w:p>
            <w:pPr>
              <w:pStyle w:val="Compact"/>
            </w:pPr>
            <w:r>
              <w:t xml:space="preserve">Workspace ONE</w:t>
            </w:r>
          </w:p>
        </w:tc>
        <w:tc>
          <w:tcPr/>
          <w:p>
            <w:pPr>
              <w:pStyle w:val="Compact"/>
            </w:pPr>
            <w:r>
              <w:rPr>
                <w:b/>
                <w:bCs/>
              </w:rPr>
              <w:t xml:space="preserve">vSphere Lifecycle Manager</w:t>
            </w:r>
            <w:r>
              <w:t xml:space="preserve"> </w:t>
            </w:r>
            <w:r>
              <w:t xml:space="preserve">(ESXi + firmware)</w:t>
            </w:r>
          </w:p>
        </w:tc>
        <w:tc>
          <w:tcPr/>
          <w:p>
            <w:pPr>
              <w:pStyle w:val="Compact"/>
            </w:pPr>
            <w:r>
              <w:t xml:space="preserve">—</w:t>
            </w:r>
          </w:p>
        </w:tc>
      </w:tr>
      <w:tr>
        <w:tc>
          <w:tcPr/>
          <w:p>
            <w:pPr>
              <w:pStyle w:val="Compact"/>
            </w:pPr>
            <w:r>
              <w:rPr>
                <w:b/>
                <w:bCs/>
              </w:rPr>
              <w:t xml:space="preserve">Red Hat</w:t>
            </w:r>
          </w:p>
        </w:tc>
        <w:tc>
          <w:tcPr/>
          <w:p>
            <w:pPr>
              <w:pStyle w:val="Compact"/>
            </w:pPr>
            <w:r>
              <w:t xml:space="preserve">—</w:t>
            </w:r>
          </w:p>
        </w:tc>
        <w:tc>
          <w:tcPr/>
          <w:p>
            <w:pPr>
              <w:pStyle w:val="Compact"/>
            </w:pPr>
            <w:r>
              <w:t xml:space="preserve">Satellite; Ansible Automation Platform; Insights</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rPr>
                <w:b/>
                <w:bCs/>
              </w:rPr>
              <w:t xml:space="preserve">Cross-CSP overlay</w:t>
            </w:r>
          </w:p>
        </w:tc>
        <w:tc>
          <w:tcPr/>
          <w:p>
            <w:pPr>
              <w:pStyle w:val="Compact"/>
            </w:pPr>
            <w:r>
              <w:t xml:space="preserve">Tanium / BigFix / Ivanti — OS-agnostic, runs on any platform above</w:t>
            </w:r>
          </w:p>
        </w:tc>
        <w:tc>
          <w:tcPr/>
          <w:p>
            <w:pPr>
              <w:pStyle w:val="Compact"/>
            </w:pPr>
          </w:p>
        </w:tc>
        <w:tc>
          <w:tcPr/>
          <w:p>
            <w:pPr>
              <w:pStyle w:val="Compact"/>
            </w:pPr>
          </w:p>
        </w:tc>
        <w:tc>
          <w:tcPr/>
          <w:p>
            <w:pPr>
              <w:pStyle w:val="Compact"/>
            </w:pPr>
          </w:p>
        </w:tc>
        <w:tc>
          <w:tcPr/>
          <w:p>
            <w:pPr>
              <w:pStyle w:val="Compact"/>
            </w:pPr>
          </w:p>
        </w:tc>
      </w:tr>
    </w:tbl>
    <w:p>
      <w:pPr>
        <w:pStyle w:val="BodyText"/>
      </w:pPr>
      <w:r>
        <w:t xml:space="preserve">Two properties of this matrix are load-bearing:</w:t>
      </w:r>
    </w:p>
    <w:p>
      <w:pPr>
        <w:pStyle w:val="Compact"/>
        <w:numPr>
          <w:ilvl w:val="0"/>
          <w:numId w:val="1001"/>
        </w:numPr>
      </w:pPr>
      <w:r>
        <w:rPr>
          <w:b/>
          <w:bCs/>
        </w:rPr>
        <w:t xml:space="preserve">The hypervisor/firmware column has no cross-platform tool.</w:t>
      </w:r>
      <w:r>
        <w:t xml:space="preserve"> </w:t>
      </w:r>
      <w:r>
        <w:t xml:space="preserve">ESXi is patched</w:t>
      </w:r>
      <w:r>
        <w:t xml:space="preserve"> </w:t>
      </w:r>
      <w:r>
        <w:t xml:space="preserve">by vSphere Lifecycle Manager and nothing else; a network appliance’s firmware</w:t>
      </w:r>
      <w:r>
        <w:t xml:space="preserve"> </w:t>
      </w:r>
      <w:r>
        <w:t xml:space="preserve">is patched by its vendor tooling (the Network Enforcement Substrate book’s</w:t>
      </w:r>
      <w:r>
        <w:t xml:space="preserve"> </w:t>
      </w:r>
      <w:r>
        <w:t xml:space="preserve">subject).</w:t>
      </w:r>
      <w:r>
        <w:t xml:space="preserve"> </w:t>
      </w:r>
      <w:r>
        <w:t xml:space="preserve">“Everything under Arc”</w:t>
      </w:r>
      <w:r>
        <w:t xml:space="preserve"> </w:t>
      </w:r>
      <w:r>
        <w:t xml:space="preserve">cannot reach this column.</w:t>
      </w:r>
    </w:p>
    <w:p>
      <w:pPr>
        <w:pStyle w:val="Compact"/>
        <w:numPr>
          <w:ilvl w:val="0"/>
          <w:numId w:val="1001"/>
        </w:numPr>
      </w:pPr>
      <w:r>
        <w:rPr>
          <w:b/>
          <w:bCs/>
        </w:rPr>
        <w:t xml:space="preserve">Oracle Ksplice is a genuine capability difference, not a branding one.</w:t>
      </w:r>
      <w:r>
        <w:t xml:space="preserve"> </w:t>
      </w:r>
      <w:r>
        <w:t xml:space="preserve">It</w:t>
      </w:r>
      <w:r>
        <w:t xml:space="preserve"> </w:t>
      </w:r>
      <w:r>
        <w:t xml:space="preserve">applies kernel and user-space patches without a reboot — which changes the</w:t>
      </w:r>
      <w:r>
        <w:t xml:space="preserve"> </w:t>
      </w:r>
      <w:r>
        <w:t xml:space="preserve">remediation-SLA math for high-availability workloads, because the maintenance</w:t>
      </w:r>
      <w:r>
        <w:t xml:space="preserve"> </w:t>
      </w:r>
      <w:r>
        <w:t xml:space="preserve">window that gates most patching is smaller or absent.</w:t>
      </w:r>
    </w:p>
    <w:bookmarkEnd w:id="13"/>
    <w:bookmarkStart w:id="14" w:name="Xf5ced8eae2a8fcc920f0771d6509295eb779990"/>
    <w:p>
      <w:pPr>
        <w:pStyle w:val="Heading2"/>
      </w:pPr>
      <w:r>
        <w:t xml:space="preserve">4.2 Governance Is Unified — the Evidence Contract</w:t>
      </w:r>
    </w:p>
    <w:p>
      <w:pPr>
        <w:pStyle w:val="FirstParagraph"/>
      </w:pPr>
      <w:r>
        <w:t xml:space="preserve">Coordination is not a console; it is a record every stack must emit. The</w:t>
      </w:r>
      <w:r>
        <w:t xml:space="preserve"> </w:t>
      </w:r>
      <w:r>
        <w:rPr>
          <w:b/>
          <w:bCs/>
        </w:rPr>
        <w:t xml:space="preserve">unified compliance record</w:t>
      </w:r>
      <w:r>
        <w:t xml:space="preserve"> </w:t>
      </w:r>
      <w:r>
        <w:t xml:space="preserve">is the contract: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Meaning</w:t>
            </w:r>
          </w:p>
        </w:tc>
      </w:tr>
      <w:tr>
        <w:tc>
          <w:tcPr/>
          <w:p>
            <w:pPr>
              <w:pStyle w:val="Compact"/>
            </w:pPr>
            <w:r>
              <w:rPr>
                <w:rStyle w:val="VerbatimChar"/>
              </w:rPr>
              <w:t xml:space="preserve">asset_id</w:t>
            </w:r>
          </w:p>
        </w:tc>
        <w:tc>
          <w:tcPr/>
          <w:p>
            <w:pPr>
              <w:pStyle w:val="Compact"/>
            </w:pPr>
            <w:r>
              <w:t xml:space="preserve">Authoritative name/address from the naming plane (IPAM/DDI) — the join key</w:t>
            </w:r>
          </w:p>
        </w:tc>
      </w:tr>
      <w:tr>
        <w:tc>
          <w:tcPr/>
          <w:p>
            <w:pPr>
              <w:pStyle w:val="Compact"/>
            </w:pPr>
            <w:r>
              <w:rPr>
                <w:rStyle w:val="VerbatimChar"/>
              </w:rPr>
              <w:t xml:space="preserve">platform</w:t>
            </w:r>
          </w:p>
        </w:tc>
        <w:tc>
          <w:tcPr/>
          <w:p>
            <w:pPr>
              <w:pStyle w:val="Compact"/>
            </w:pPr>
            <w:r>
              <w:t xml:space="preserve">Which CSP/stack produced the record</w:t>
            </w:r>
          </w:p>
        </w:tc>
      </w:tr>
      <w:tr>
        <w:tc>
          <w:tcPr/>
          <w:p>
            <w:pPr>
              <w:pStyle w:val="Compact"/>
            </w:pPr>
            <w:r>
              <w:rPr>
                <w:rStyle w:val="VerbatimChar"/>
              </w:rPr>
              <w:t xml:space="preserve">os</w:t>
            </w:r>
          </w:p>
        </w:tc>
        <w:tc>
          <w:tcPr/>
          <w:p>
            <w:pPr>
              <w:pStyle w:val="Compact"/>
            </w:pPr>
            <w:r>
              <w:t xml:space="preserve">Guest OS or appliance class</w:t>
            </w:r>
          </w:p>
        </w:tc>
      </w:tr>
      <w:tr>
        <w:tc>
          <w:tcPr/>
          <w:p>
            <w:pPr>
              <w:pStyle w:val="Compact"/>
            </w:pPr>
            <w:r>
              <w:rPr>
                <w:rStyle w:val="VerbatimChar"/>
              </w:rPr>
              <w:t xml:space="preserve">patch_state</w:t>
            </w:r>
          </w:p>
        </w:tc>
        <w:tc>
          <w:tcPr/>
          <w:p>
            <w:pPr>
              <w:pStyle w:val="Compact"/>
            </w:pPr>
            <w:r>
              <w:t xml:space="preserve">Current vs. required patch level</w:t>
            </w:r>
          </w:p>
        </w:tc>
      </w:tr>
      <w:tr>
        <w:tc>
          <w:tcPr/>
          <w:p>
            <w:pPr>
              <w:pStyle w:val="Compact"/>
            </w:pPr>
            <w:r>
              <w:rPr>
                <w:rStyle w:val="VerbatimChar"/>
              </w:rPr>
              <w:t xml:space="preserve">baseline_conformance</w:t>
            </w:r>
          </w:p>
        </w:tc>
        <w:tc>
          <w:tcPr/>
          <w:p>
            <w:pPr>
              <w:pStyle w:val="Compact"/>
            </w:pPr>
            <w:r>
              <w:t xml:space="preserve">Pass/fail against the CM-2 desired-state baseline</w:t>
            </w:r>
          </w:p>
        </w:tc>
      </w:tr>
      <w:tr>
        <w:tc>
          <w:tcPr/>
          <w:p>
            <w:pPr>
              <w:pStyle w:val="Compact"/>
            </w:pPr>
            <w:r>
              <w:rPr>
                <w:rStyle w:val="VerbatimChar"/>
              </w:rPr>
              <w:t xml:space="preserve">last_scan</w:t>
            </w:r>
          </w:p>
        </w:tc>
        <w:tc>
          <w:tcPr/>
          <w:p>
            <w:pPr>
              <w:pStyle w:val="Compact"/>
            </w:pPr>
            <w:r>
              <w:t xml:space="preserve">Timestamp of the assessment that produced the gap</w:t>
            </w:r>
          </w:p>
        </w:tc>
      </w:tr>
      <w:tr>
        <w:tc>
          <w:tcPr/>
          <w:p>
            <w:pPr>
              <w:pStyle w:val="Compact"/>
            </w:pPr>
            <w:r>
              <w:rPr>
                <w:rStyle w:val="VerbatimChar"/>
              </w:rPr>
              <w:t xml:space="preserve">sla_class</w:t>
            </w:r>
          </w:p>
        </w:tc>
        <w:tc>
          <w:tcPr/>
          <w:p>
            <w:pPr>
              <w:pStyle w:val="Compact"/>
            </w:pPr>
            <w:r>
              <w:t xml:space="preserve">Remediation SLA tier (KEV/exposure-weighted, BOD 26-04 model)</w:t>
            </w:r>
          </w:p>
        </w:tc>
      </w:tr>
      <w:tr>
        <w:tc>
          <w:tcPr/>
          <w:p>
            <w:pPr>
              <w:pStyle w:val="Compact"/>
            </w:pPr>
            <w:r>
              <w:rPr>
                <w:rStyle w:val="VerbatimChar"/>
              </w:rPr>
              <w:t xml:space="preserve">remediation_status</w:t>
            </w:r>
          </w:p>
        </w:tc>
        <w:tc>
          <w:tcPr/>
          <w:p>
            <w:pPr>
              <w:pStyle w:val="Compact"/>
            </w:pPr>
            <w:r>
              <w:t xml:space="preserve">Applied / scheduled / deferred (with POA&amp;M reference)</w:t>
            </w:r>
          </w:p>
        </w:tc>
      </w:tr>
    </w:tbl>
    <w:p>
      <w:pPr>
        <w:pStyle w:val="BodyText"/>
      </w:pPr>
      <w:r>
        <w:t xml:space="preserve">Every native stack — SSM, Update Manager, OS Management Hub, vLCM, Satellite —</w:t>
      </w:r>
      <w:r>
        <w:t xml:space="preserve"> </w:t>
      </w:r>
      <w:r>
        <w:t xml:space="preserve">can produce these fields. The record lands in one evidence lake (Sentinel / Log</w:t>
      </w:r>
      <w:r>
        <w:t xml:space="preserve"> </w:t>
      </w:r>
      <w:r>
        <w:t xml:space="preserve">Analytics), flows into</w:t>
      </w:r>
      <w:r>
        <w:t xml:space="preserve"> </w:t>
      </w:r>
      <w:r>
        <w:rPr>
          <w:b/>
          <w:bCs/>
        </w:rPr>
        <w:t xml:space="preserve">CISA CDM</w:t>
      </w:r>
      <w:r>
        <w:t xml:space="preserve">, and becomes the SI-2 / SI-2(2) evidence in</w:t>
      </w:r>
      <w:r>
        <w:t xml:space="preserve"> </w:t>
      </w:r>
      <w:r>
        <w:t xml:space="preserve">the FedRAMP 20x KSI pipeline. The series mandates the</w:t>
      </w:r>
      <w:r>
        <w:t xml:space="preserve"> </w:t>
      </w:r>
      <w:r>
        <w:rPr>
          <w:b/>
          <w:bCs/>
        </w:rPr>
        <w:t xml:space="preserve">record</w:t>
      </w:r>
      <w:r>
        <w:t xml:space="preserve">, never a single</w:t>
      </w:r>
      <w:r>
        <w:t xml:space="preserve"> </w:t>
      </w:r>
      <w:r>
        <w:t xml:space="preserve">vendor’s tool.</w:t>
      </w:r>
    </w:p>
    <w:bookmarkEnd w:id="14"/>
    <w:bookmarkStart w:id="15" w:name="Xb1f3e189331d2d296ef7e473117b0e2de173c74"/>
    <w:p>
      <w:pPr>
        <w:pStyle w:val="Heading2"/>
      </w:pPr>
      <w:r>
        <w:t xml:space="preserve">4.3 The Join Key Is Authoritative Asset Identity — CM-8 Is the Precondition for SI-2 at Scale</w:t>
      </w:r>
    </w:p>
    <w:p>
      <w:pPr>
        <w:pStyle w:val="FirstParagraph"/>
      </w:pPr>
      <w:r>
        <w:t xml:space="preserve">Five stacks produce five inventories. They become one compliance picture only if</w:t>
      </w:r>
      <w:r>
        <w:t xml:space="preserve"> </w:t>
      </w:r>
      <w:r>
        <w:t xml:space="preserve">every</w:t>
      </w:r>
      <w:r>
        <w:t xml:space="preserve"> </w:t>
      </w:r>
      <w:r>
        <w:rPr>
          <w:rStyle w:val="VerbatimChar"/>
        </w:rPr>
        <w:t xml:space="preserve">remediation_status</w:t>
      </w:r>
      <w:r>
        <w:t xml:space="preserve"> </w:t>
      </w:r>
      <w:r>
        <w:t xml:space="preserve">record is keyed to the</w:t>
      </w:r>
      <w:r>
        <w:t xml:space="preserve"> </w:t>
      </w:r>
      <w:r>
        <w:rPr>
          <w:b/>
          <w:bCs/>
        </w:rPr>
        <w:t xml:space="preserve">same authoritative</w:t>
      </w:r>
      <w:r>
        <w:rPr>
          <w:b/>
          <w:bCs/>
        </w:rPr>
        <w:t xml:space="preserve"> </w:t>
      </w:r>
      <w:r>
        <w:rPr>
          <w:rStyle w:val="VerbatimChar"/>
          <w:b/>
          <w:bCs/>
        </w:rPr>
        <w:t xml:space="preserve">asset_id</w:t>
      </w:r>
      <w:r>
        <w:t xml:space="preserve"> </w:t>
      </w:r>
      <w:r>
        <w:t xml:space="preserve">— the IP/hostname from the naming plane (CM-8). Without that join</w:t>
      </w:r>
      <w:r>
        <w:t xml:space="preserve"> </w:t>
      </w:r>
      <w:r>
        <w:t xml:space="preserve">key, an agency cannot answer</w:t>
      </w:r>
      <w:r>
        <w:t xml:space="preserve"> </w:t>
      </w:r>
      <w:r>
        <w:t xml:space="preserve">“is CVE-X remediated across the whole estate?”</w:t>
      </w:r>
      <w:r>
        <w:t xml:space="preserve"> </w:t>
      </w:r>
      <w:r>
        <w:t xml:space="preserve">— it</w:t>
      </w:r>
      <w:r>
        <w:t xml:space="preserve"> </w:t>
      </w:r>
      <w:r>
        <w:t xml:space="preserve">can only answer it per stack, which is not asset visibility. This is the</w:t>
      </w:r>
      <w:r>
        <w:t xml:space="preserve"> </w:t>
      </w:r>
      <w:r>
        <w:rPr>
          <w:b/>
          <w:bCs/>
        </w:rPr>
        <w:t xml:space="preserve">CISA BOD 23-01</w:t>
      </w:r>
      <w:r>
        <w:t xml:space="preserve"> </w:t>
      </w:r>
      <w:r>
        <w:t xml:space="preserve">obligation, and it is why multi-platform SI-2 is a</w:t>
      </w:r>
      <w:r>
        <w:t xml:space="preserve"> </w:t>
      </w:r>
      <w:r>
        <w:rPr>
          <w:i/>
          <w:iCs/>
        </w:rPr>
        <w:t xml:space="preserve">downstream</w:t>
      </w:r>
      <w:r>
        <w:rPr>
          <w:i/>
          <w:iCs/>
        </w:rPr>
        <w:t xml:space="preserve"> </w:t>
      </w:r>
      <w:r>
        <w:rPr>
          <w:i/>
          <w:iCs/>
        </w:rPr>
        <w:t xml:space="preserve">consequence</w:t>
      </w:r>
      <w:r>
        <w:t xml:space="preserve"> </w:t>
      </w:r>
      <w:r>
        <w:t xml:space="preserve">of the naming-plane necessity argument, not an independent problem.</w:t>
      </w:r>
    </w:p>
    <w:bookmarkEnd w:id="15"/>
    <w:bookmarkEnd w:id="16"/>
    <w:bookmarkStart w:id="17" w:name="configuration-state-not-just-patch-level"/>
    <w:p>
      <w:pPr>
        <w:pStyle w:val="Heading1"/>
      </w:pPr>
      <w:r>
        <w:t xml:space="preserve">5. Configuration State, Not Just Patch Level</w:t>
      </w:r>
    </w:p>
    <w:p>
      <w:pPr>
        <w:pStyle w:val="FirstParagraph"/>
      </w:pPr>
      <w:r>
        <w:t xml:space="preserve">SI-2 closes flaws;</w:t>
      </w:r>
      <w:r>
        <w:t xml:space="preserve"> </w:t>
      </w:r>
      <w:r>
        <w:rPr>
          <w:b/>
          <w:bCs/>
        </w:rPr>
        <w:t xml:space="preserve">CM-2 / CM-6</w:t>
      </w:r>
      <w:r>
        <w:t xml:space="preserve"> </w:t>
      </w:r>
      <w:r>
        <w:t xml:space="preserve">hold the configuration that keeps them closed.</w:t>
      </w:r>
      <w:r>
        <w:t xml:space="preserve"> </w:t>
      </w:r>
      <w:r>
        <w:t xml:space="preserve">Each platform has a desired-state mechanism that is the analogue of a patch</w:t>
      </w:r>
      <w:r>
        <w:t xml:space="preserve"> </w:t>
      </w:r>
      <w:r>
        <w:t xml:space="preserve">baseline: Azure Machine Configuration (guest configuration), AWS SSM State</w:t>
      </w:r>
      <w:r>
        <w:t xml:space="preserve"> </w:t>
      </w:r>
      <w:r>
        <w:t xml:space="preserve">Manager, VMware Aria Automation, Red Hat Ansible. The discipline is identical</w:t>
      </w:r>
      <w:r>
        <w:t xml:space="preserve"> </w:t>
      </w:r>
      <w:r>
        <w:t xml:space="preserve">across them — declare a baseline, detect drift, reconcile, and emit a</w:t>
      </w:r>
      <w:r>
        <w:t xml:space="preserve"> </w:t>
      </w:r>
      <w:r>
        <w:rPr>
          <w:rStyle w:val="VerbatimChar"/>
        </w:rPr>
        <w:t xml:space="preserve">baseline_conformance</w:t>
      </w:r>
      <w:r>
        <w:t xml:space="preserve"> </w:t>
      </w:r>
      <w:r>
        <w:t xml:space="preserve">record — and it feeds the same evidence contract. A patch</w:t>
      </w:r>
      <w:r>
        <w:t xml:space="preserve"> </w:t>
      </w:r>
      <w:r>
        <w:t xml:space="preserve">applied to a host that then drifts out of its hardened baseline has not stayed</w:t>
      </w:r>
      <w:r>
        <w:t xml:space="preserve"> </w:t>
      </w:r>
      <w:r>
        <w:t xml:space="preserve">remediated; configuration state is the other half of the plane.</w:t>
      </w:r>
    </w:p>
    <w:bookmarkEnd w:id="17"/>
    <w:bookmarkStart w:id="18" w:name="the-cross-csp-overlay-decision"/>
    <w:p>
      <w:pPr>
        <w:pStyle w:val="Heading1"/>
      </w:pPr>
      <w:r>
        <w:t xml:space="preserve">6. The Cross-CSP Overlay Decision</w:t>
      </w:r>
    </w:p>
    <w:p>
      <w:pPr>
        <w:pStyle w:val="FirstParagraph"/>
      </w:pPr>
      <w:r>
        <w:t xml:space="preserve">An agency may choose to run a single OS-agnostic management plane — Tanium,</w:t>
      </w:r>
      <w:r>
        <w:t xml:space="preserve"> </w:t>
      </w:r>
      <w:r>
        <w:t xml:space="preserve">BigFix, or Ivanti —</w:t>
      </w:r>
      <w:r>
        <w:t xml:space="preserve"> </w:t>
      </w:r>
      <w:r>
        <w:rPr>
          <w:i/>
          <w:iCs/>
        </w:rPr>
        <w:t xml:space="preserve">on top of</w:t>
      </w:r>
      <w:r>
        <w:t xml:space="preserve"> </w:t>
      </w:r>
      <w:r>
        <w:t xml:space="preserve">every platform, instead of stitching native</w:t>
      </w:r>
      <w:r>
        <w:t xml:space="preserve"> </w:t>
      </w:r>
      <w:r>
        <w:t xml:space="preserve">stacks together. The trade is explicit:</w:t>
      </w:r>
    </w:p>
    <w:p>
      <w:pPr>
        <w:pStyle w:val="Compact"/>
        <w:numPr>
          <w:ilvl w:val="0"/>
          <w:numId w:val="1002"/>
        </w:numPr>
      </w:pPr>
      <w:r>
        <w:rPr>
          <w:b/>
          <w:bCs/>
        </w:rPr>
        <w:t xml:space="preserve">Native per-platform</w:t>
      </w:r>
      <w:r>
        <w:t xml:space="preserve"> </w:t>
      </w:r>
      <w:r>
        <w:t xml:space="preserve">— no extra license, inherits each CSP’s support model</w:t>
      </w:r>
      <w:r>
        <w:t xml:space="preserve"> </w:t>
      </w:r>
      <w:r>
        <w:t xml:space="preserve">and boundary, but requires the evidence contract to normalize five outputs.</w:t>
      </w:r>
    </w:p>
    <w:p>
      <w:pPr>
        <w:pStyle w:val="Compact"/>
        <w:numPr>
          <w:ilvl w:val="0"/>
          <w:numId w:val="1002"/>
        </w:numPr>
      </w:pPr>
      <w:r>
        <w:rPr>
          <w:b/>
          <w:bCs/>
        </w:rPr>
        <w:t xml:space="preserve">Single overlay</w:t>
      </w:r>
      <w:r>
        <w:t xml:space="preserve"> </w:t>
      </w:r>
      <w:r>
        <w:t xml:space="preserve">— one console and one normalized output, but an additional</w:t>
      </w:r>
      <w:r>
        <w:t xml:space="preserve"> </w:t>
      </w:r>
      <w:r>
        <w:t xml:space="preserve">FedRAMP-authorized product in the boundary, an agent on every host, and a</w:t>
      </w:r>
      <w:r>
        <w:t xml:space="preserve"> </w:t>
      </w:r>
      <w:r>
        <w:t xml:space="preserve">support-model seam with each platform’s own tooling.</w:t>
      </w:r>
    </w:p>
    <w:p>
      <w:pPr>
        <w:pStyle w:val="FirstParagraph"/>
      </w:pPr>
      <w:r>
        <w:t xml:space="preserve">Neither is doctrinally required; both satisfy the coordination doctrine</w:t>
      </w:r>
      <w:r>
        <w:t xml:space="preserve"> </w:t>
      </w:r>
      <w:r>
        <w:rPr>
          <w:b/>
          <w:bCs/>
        </w:rPr>
        <w:t xml:space="preserve">as long</w:t>
      </w:r>
      <w:r>
        <w:rPr>
          <w:b/>
          <w:bCs/>
        </w:rPr>
        <w:t xml:space="preserve"> </w:t>
      </w:r>
      <w:r>
        <w:rPr>
          <w:b/>
          <w:bCs/>
        </w:rPr>
        <w:t xml:space="preserve">as the evidence contract is met</w:t>
      </w:r>
      <w:r>
        <w:t xml:space="preserve">. The overlay does not replace the hypervisor/</w:t>
      </w:r>
      <w:r>
        <w:t xml:space="preserve"> </w:t>
      </w:r>
      <w:r>
        <w:t xml:space="preserve">firmware column — vLCM and vendor firmware tooling remain, because an OS-level</w:t>
      </w:r>
      <w:r>
        <w:t xml:space="preserve"> </w:t>
      </w:r>
      <w:r>
        <w:t xml:space="preserve">overlay cannot patch below the OS.</w:t>
      </w:r>
    </w:p>
    <w:bookmarkEnd w:id="18"/>
    <w:bookmarkStart w:id="19" w:name="the-accreditation-substrate-theme-f"/>
    <w:p>
      <w:pPr>
        <w:pStyle w:val="Heading1"/>
      </w:pPr>
      <w:r>
        <w:t xml:space="preserve">7. The Accreditation Substrate (Theme F)</w:t>
      </w:r>
    </w:p>
    <w:p>
      <w:pPr>
        <w:pStyle w:val="FirstParagraph"/>
      </w:pPr>
      <w:r>
        <w:t xml:space="preserve">Most stacks in the actuation matrix are</w:t>
      </w:r>
      <w:r>
        <w:t xml:space="preserve"> </w:t>
      </w:r>
      <w:r>
        <w:rPr>
          <w:b/>
          <w:bCs/>
        </w:rPr>
        <w:t xml:space="preserve">CSP services</w:t>
      </w:r>
      <w:r>
        <w:t xml:space="preserve"> </w:t>
      </w:r>
      <w:r>
        <w:t xml:space="preserve">(Intune/Arc, AWS SSM, OCI</w:t>
      </w:r>
      <w:r>
        <w:t xml:space="preserve"> </w:t>
      </w:r>
      <w:r>
        <w:t xml:space="preserve">OS Management Hub), so their gate is</w:t>
      </w:r>
      <w:r>
        <w:t xml:space="preserve"> </w:t>
      </w:r>
      <w:r>
        <w:rPr>
          <w:b/>
          <w:bCs/>
        </w:rPr>
        <w:t xml:space="preserve">FedRAMP</w:t>
      </w:r>
      <w:r>
        <w:t xml:space="preserve"> </w:t>
      </w:r>
      <w:r>
        <w:t xml:space="preserve">— verify each such stack’s</w:t>
      </w:r>
      <w:r>
        <w:t xml:space="preserve"> </w:t>
      </w:r>
      <w:r>
        <w:t xml:space="preserve">authorization status on the FedRAMP Marketplace at procurement, and never claim</w:t>
      </w:r>
      <w:r>
        <w:t xml:space="preserve"> </w:t>
      </w:r>
      <w:r>
        <w:t xml:space="preserve">above Moderate. But the matrix also includes</w:t>
      </w:r>
      <w:r>
        <w:t xml:space="preserve"> </w:t>
      </w:r>
      <w:r>
        <w:rPr>
          <w:b/>
          <w:bCs/>
        </w:rPr>
        <w:t xml:space="preserve">customer-operated</w:t>
      </w:r>
      <w:r>
        <w:t xml:space="preserve"> </w:t>
      </w:r>
      <w:r>
        <w:t xml:space="preserve">stacks —</w:t>
      </w:r>
      <w:r>
        <w:t xml:space="preserve"> </w:t>
      </w:r>
      <w:r>
        <w:t xml:space="preserve">vSphere Lifecycle Manager on on-premises VMware, and Red Hat Satellite / Ansible</w:t>
      </w:r>
      <w:r>
        <w:t xml:space="preserve"> </w:t>
      </w:r>
      <w:r>
        <w:t xml:space="preserve">on customer infrastructure — which carry no FedRAMP CSO. Like the customer-owned</w:t>
      </w:r>
      <w:r>
        <w:t xml:space="preserve"> </w:t>
      </w:r>
      <w:r>
        <w:t xml:space="preserve">network gear in the enforcement-substrate book, their accreditation is the</w:t>
      </w:r>
      <w:r>
        <w:t xml:space="preserve"> </w:t>
      </w:r>
      <w:r>
        <w:t xml:space="preserve">product’s own (DISA STIG hardening, FIPS 140-3 validated modules), and the</w:t>
      </w:r>
      <w:r>
        <w:t xml:space="preserve"> </w:t>
      </w:r>
      <w:r>
        <w:t xml:space="preserve">authorization boundary documents them as agency-operated components, not inherited</w:t>
      </w:r>
      <w:r>
        <w:t xml:space="preserve"> </w:t>
      </w:r>
      <w:r>
        <w:t xml:space="preserve">CSP services. One boundary nuance recurs: a</w:t>
      </w:r>
      <w:r>
        <w:t xml:space="preserve"> </w:t>
      </w:r>
      <w:r>
        <w:rPr>
          <w:b/>
          <w:bCs/>
        </w:rPr>
        <w:t xml:space="preserve">hybrid agent</w:t>
      </w:r>
      <w:r>
        <w:t xml:space="preserve"> </w:t>
      </w:r>
      <w:r>
        <w:t xml:space="preserve">— Azure Arc reaching an on-prem or AWS host, or SSM reaching a</w:t>
      </w:r>
      <w:r>
        <w:t xml:space="preserve"> </w:t>
      </w:r>
      <w:r>
        <w:t xml:space="preserve">non-AWS host — creates an interconnection the authorization boundary must</w:t>
      </w:r>
      <w:r>
        <w:t xml:space="preserve"> </w:t>
      </w:r>
      <w:r>
        <w:t xml:space="preserve">document (the agent channel crosses a boundary edge). Note it as an external-</w:t>
      </w:r>
      <w:r>
        <w:t xml:space="preserve"> </w:t>
      </w:r>
      <w:r>
        <w:t xml:space="preserve">service connection with its own agreement; do not treat the reached host as</w:t>
      </w:r>
      <w:r>
        <w:t xml:space="preserve"> </w:t>
      </w:r>
      <w:r>
        <w:t xml:space="preserve">silently in-boundary because a management agent touches it.</w:t>
      </w:r>
    </w:p>
    <w:bookmarkEnd w:id="19"/>
    <w:bookmarkStart w:id="22" w:name="X87cbf80a4728b1f45bb8f7d07921f27fe55d227"/>
    <w:p>
      <w:pPr>
        <w:pStyle w:val="Heading1"/>
      </w:pPr>
      <w:r>
        <w:t xml:space="preserve">8. Phase 5 — The RedHat-on-AWS Estate Lands Here</w:t>
      </w:r>
    </w:p>
    <w:p>
      <w:pPr>
        <w:pStyle w:val="FirstParagraph"/>
      </w:pPr>
      <w:r>
        <w:t xml:space="preserve">The program roadmap deferred one estate: the Red Hat virtual machines running</w:t>
      </w:r>
      <w:r>
        <w:t xml:space="preserve"> </w:t>
      </w:r>
      <w:r>
        <w:t xml:space="preserve">in</w:t>
      </w:r>
      <w:r>
        <w:t xml:space="preserve"> </w:t>
      </w:r>
      <w:r>
        <w:rPr>
          <w:b/>
          <w:bCs/>
        </w:rPr>
        <w:t xml:space="preserve">AWS GovCloud</w:t>
      </w:r>
      <w:r>
        <w:t xml:space="preserve"> </w:t>
      </w:r>
      <w:r>
        <w:t xml:space="preserve">(</w:t>
      </w:r>
      <w:r>
        <w:t xml:space="preserve">“VMs are currently RedHat in AWS, so those are after</w:t>
      </w:r>
      <w:r>
        <w:t xml:space="preserve"> </w:t>
      </w:r>
      <w:r>
        <w:t xml:space="preserve">this”</w:t>
      </w:r>
      <w:r>
        <w:t xml:space="preserve">). Phase 5 is that estate’s turn, and the landing shape is now decided:</w:t>
      </w:r>
      <w:r>
        <w:t xml:space="preserve"> </w:t>
      </w:r>
      <w:r>
        <w:rPr>
          <w:b/>
          <w:bCs/>
        </w:rPr>
        <w:t xml:space="preserve">extend in place, not a new volume.</w:t>
      </w:r>
      <w:r>
        <w:t xml:space="preserve"> </w:t>
      </w:r>
      <w:r>
        <w:t xml:space="preserve">The RedHat-on-AWS workstreams land as</w:t>
      </w:r>
      <w:r>
        <w:t xml:space="preserve"> </w:t>
      </w:r>
      <w:r>
        <w:t xml:space="preserve">extensions of the books that already govern their functions — this book for</w:t>
      </w:r>
      <w:r>
        <w:t xml:space="preserve"> </w:t>
      </w:r>
      <w:r>
        <w:t xml:space="preserve">patch and configuration (SI-2, CM-2/6, via Satellite + Ansible Automation</w:t>
      </w:r>
      <w:r>
        <w:t xml:space="preserve"> </w:t>
      </w:r>
      <w:r>
        <w:t xml:space="preserve">Platform + AWS SSM per the actuation matrix above), Vol VIII Book 02 for the</w:t>
      </w:r>
      <w:r>
        <w:t xml:space="preserve"> </w:t>
      </w:r>
      <w:r>
        <w:t xml:space="preserve">DDI naming plane and CM-8 join key on AWS, Vol III Book 07 for Security Hub /</w:t>
      </w:r>
      <w:r>
        <w:t xml:space="preserve"> </w:t>
      </w:r>
      <w:r>
        <w:t xml:space="preserve">GuardDuty evidence ingestion, and the Volume IX day-2 control maps for</w:t>
      </w:r>
      <w:r>
        <w:t xml:space="preserve"> </w:t>
      </w:r>
      <w:r>
        <w:t xml:space="preserve">instance provisioning and patch-scheduling catalog items. A separate</w:t>
      </w:r>
      <w:r>
        <w:t xml:space="preserve"> </w:t>
      </w:r>
      <w:r>
        <w:t xml:space="preserve">multi-CSP extension volume is warranted only if OCI or VMware estates follow</w:t>
      </w:r>
      <w:r>
        <w:t xml:space="preserve"> </w:t>
      </w:r>
      <w:r>
        <w:t xml:space="preserve">at comparable depth.</w:t>
      </w:r>
    </w:p>
    <w:p>
      <w:pPr>
        <w:pStyle w:val="BodyText"/>
      </w:pPr>
      <w:r>
        <w:t xml:space="preserve">Three invariants make Phase 5 an extension rather than a new architecture.</w:t>
      </w:r>
      <w:r>
        <w:t xml:space="preserve"> </w:t>
      </w:r>
      <w:r>
        <w:t xml:space="preserve">First,</w:t>
      </w:r>
      <w:r>
        <w:t xml:space="preserve"> </w:t>
      </w:r>
      <w:r>
        <w:rPr>
          <w:b/>
          <w:bCs/>
        </w:rPr>
        <w:t xml:space="preserve">the AWS estate reconciles into the same queues</w:t>
      </w:r>
      <w:r>
        <w:t xml:space="preserve">: Satellite, Ansible,</w:t>
      </w:r>
      <w:r>
        <w:t xml:space="preserve"> </w:t>
      </w:r>
      <w:r>
        <w:t xml:space="preserve">and SSM emit into the existing SI-2 remediation queue, not an AWS-specific</w:t>
      </w:r>
      <w:r>
        <w:t xml:space="preserve"> </w:t>
      </w:r>
      <w:r>
        <w:t xml:space="preserve">one. Second,</w:t>
      </w:r>
      <w:r>
        <w:t xml:space="preserve"> </w:t>
      </w:r>
      <w:r>
        <w:rPr>
          <w:b/>
          <w:bCs/>
        </w:rPr>
        <w:t xml:space="preserve">the CM-8 join key is the same key</w:t>
      </w:r>
      <w:r>
        <w:t xml:space="preserve"> </w:t>
      </w:r>
      <w:r>
        <w:t xml:space="preserve">— AWS assets reconcile to</w:t>
      </w:r>
      <w:r>
        <w:t xml:space="preserve"> </w:t>
      </w:r>
      <w:r>
        <w:t xml:space="preserve">the authoritative naming plane before any compliance claim is made about</w:t>
      </w:r>
      <w:r>
        <w:t xml:space="preserve"> </w:t>
      </w:r>
      <w:r>
        <w:t xml:space="preserve">them, exactly as the join-key section above requires. Third,</w:t>
      </w:r>
      <w:r>
        <w:t xml:space="preserve"> </w:t>
      </w:r>
      <w:r>
        <w:rPr>
          <w:b/>
          <w:bCs/>
        </w:rPr>
        <w:t xml:space="preserve">evidence flows</w:t>
      </w:r>
      <w:r>
        <w:rPr>
          <w:b/>
          <w:bCs/>
        </w:rPr>
        <w:t xml:space="preserve"> </w:t>
      </w:r>
      <w:r>
        <w:rPr>
          <w:b/>
          <w:bCs/>
        </w:rPr>
        <w:t xml:space="preserve">into the existing attestation pipeline</w:t>
      </w:r>
      <w:r>
        <w:t xml:space="preserve"> </w:t>
      </w:r>
      <w:r>
        <w:t xml:space="preserve">— AWS control state feeds the same</w:t>
      </w:r>
      <w:r>
        <w:t xml:space="preserve"> </w:t>
      </w:r>
      <w:r>
        <w:t xml:space="preserve">Vol VII Book 04 attestation and KSI loop; there is no separate AWS</w:t>
      </w:r>
      <w:r>
        <w:t xml:space="preserve"> </w:t>
      </w:r>
      <w:r>
        <w:t xml:space="preserve">compliance narrative. Boundary notes carried from the accreditation section:</w:t>
      </w:r>
      <w:r>
        <w:t xml:space="preserve"> </w:t>
      </w:r>
      <w:r>
        <w:t xml:space="preserve">Satellite and Ansible run in-boundary on customer infrastructure; Red Hat</w:t>
      </w:r>
      <w:r>
        <w:t xml:space="preserve"> </w:t>
      </w:r>
      <w:r>
        <w:t xml:space="preserve">Insights is SaaS and enters only after an authorization review; AWS GovCloud</w:t>
      </w:r>
      <w:r>
        <w:t xml:space="preserve"> </w:t>
      </w:r>
      <w:r>
        <w:t xml:space="preserve">and each Red Hat product’s authorization status are verified at procurement,</w:t>
      </w:r>
      <w:r>
        <w:t xml:space="preserve"> </w:t>
      </w:r>
      <w:r>
        <w:t xml:space="preserve">holding the series’ Moderate scope throughout.</w:t>
      </w:r>
    </w:p>
    <w:bookmarkStart w:id="20" w:name="Xd1b7734b7fd2521290dc90ac27b25fa94d34e47"/>
    <w:p>
      <w:pPr>
        <w:pStyle w:val="Heading2"/>
      </w:pPr>
      <w:r>
        <w:t xml:space="preserve">8.1 The 5.1 emission contract — one record shape into the one SI-2 queue</w:t>
      </w:r>
    </w:p>
    <w:p>
      <w:pPr>
        <w:pStyle w:val="FirstParagraph"/>
      </w:pPr>
      <w:r>
        <w:t xml:space="preserve">The Satellite + Ansible Automation Platform + SSM stacks close SI-2 on the</w:t>
      </w:r>
      <w:r>
        <w:t xml:space="preserve"> </w:t>
      </w:r>
      <w:r>
        <w:t xml:space="preserve">RedHat-on-AWS estate only when their remediation results land in the</w:t>
      </w:r>
      <w:r>
        <w:t xml:space="preserve"> </w:t>
      </w:r>
      <w:r>
        <w:rPr>
          <w:b/>
          <w:bCs/>
        </w:rPr>
        <w:t xml:space="preserve">same</w:t>
      </w:r>
      <w:r>
        <w:rPr>
          <w:b/>
          <w:bCs/>
        </w:rPr>
        <w:t xml:space="preserve"> </w:t>
      </w:r>
      <w:r>
        <w:rPr>
          <w:b/>
          <w:bCs/>
        </w:rPr>
        <w:t xml:space="preserve">queue</w:t>
      </w:r>
      <w:r>
        <w:t xml:space="preserve"> </w:t>
      </w:r>
      <w:r>
        <w:t xml:space="preserve">the rest of the estate reports to, keyed the same way. The emission</w:t>
      </w:r>
      <w:r>
        <w:t xml:space="preserve"> </w:t>
      </w:r>
      <w:r>
        <w:t xml:space="preserve">contract is deliberately small — five fields, the same shape every other</w:t>
      </w:r>
      <w:r>
        <w:t xml:space="preserve"> </w:t>
      </w:r>
      <w:r>
        <w:t xml:space="preserve">actuation stack emits: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Content</w:t>
            </w:r>
          </w:p>
        </w:tc>
        <w:tc>
          <w:tcPr/>
          <w:p>
            <w:pPr>
              <w:pStyle w:val="Compact"/>
            </w:pPr>
            <w:r>
              <w:t xml:space="preserve">Why it is load-bearing</w:t>
            </w:r>
          </w:p>
        </w:tc>
      </w:tr>
      <w:tr>
        <w:tc>
          <w:tcPr/>
          <w:p>
            <w:pPr>
              <w:pStyle w:val="Compact"/>
            </w:pPr>
            <w:r>
              <w:rPr>
                <w:b/>
                <w:bCs/>
              </w:rPr>
              <w:t xml:space="preserve">Join key</w:t>
            </w:r>
          </w:p>
        </w:tc>
        <w:tc>
          <w:tcPr/>
          <w:p>
            <w:pPr>
              <w:pStyle w:val="Compact"/>
            </w:pPr>
            <w:r>
              <w:t xml:space="preserve">The asset’s authoritative identity from the IPAM/DDI naming plane (CM-8)</w:t>
            </w:r>
          </w:p>
        </w:tc>
        <w:tc>
          <w:tcPr/>
          <w:p>
            <w:pPr>
              <w:pStyle w:val="Compact"/>
            </w:pPr>
            <w:r>
              <w:t xml:space="preserve">An unreconciled record proves nothing about any real asset — the 5.3 estate gate runs</w:t>
            </w:r>
            <w:r>
              <w:t xml:space="preserve"> </w:t>
            </w:r>
            <w:r>
              <w:rPr>
                <w:i/>
                <w:iCs/>
              </w:rPr>
              <w:t xml:space="preserve">first</w:t>
            </w:r>
          </w:p>
        </w:tc>
      </w:tr>
      <w:tr>
        <w:tc>
          <w:tcPr/>
          <w:p>
            <w:pPr>
              <w:pStyle w:val="Compact"/>
            </w:pPr>
            <w:r>
              <w:rPr>
                <w:b/>
                <w:bCs/>
              </w:rPr>
              <w:t xml:space="preserve">Source stack</w:t>
            </w:r>
          </w:p>
        </w:tc>
        <w:tc>
          <w:tcPr/>
          <w:p>
            <w:pPr>
              <w:pStyle w:val="Compact"/>
            </w:pPr>
            <w:r>
              <w:rPr>
                <w:rStyle w:val="VerbatimChar"/>
              </w:rPr>
              <w:t xml:space="preserve">satellite</w:t>
            </w:r>
            <w:r>
              <w:t xml:space="preserve">,</w:t>
            </w:r>
            <w:r>
              <w:t xml:space="preserve"> </w:t>
            </w:r>
            <w:r>
              <w:rPr>
                <w:rStyle w:val="VerbatimChar"/>
              </w:rPr>
              <w:t xml:space="preserve">aap</w:t>
            </w:r>
            <w:r>
              <w:t xml:space="preserve">, or</w:t>
            </w:r>
            <w:r>
              <w:t xml:space="preserve"> </w:t>
            </w:r>
            <w:r>
              <w:rPr>
                <w:rStyle w:val="VerbatimChar"/>
              </w:rPr>
              <w:t xml:space="preserve">ssm</w:t>
            </w:r>
          </w:p>
        </w:tc>
        <w:tc>
          <w:tcPr/>
          <w:p>
            <w:pPr>
              <w:pStyle w:val="Compact"/>
            </w:pPr>
            <w:r>
              <w:t xml:space="preserve">Which platform-native orchestrator performed the remediation</w:t>
            </w:r>
          </w:p>
        </w:tc>
      </w:tr>
      <w:tr>
        <w:tc>
          <w:tcPr/>
          <w:p>
            <w:pPr>
              <w:pStyle w:val="Compact"/>
            </w:pPr>
            <w:r>
              <w:rPr>
                <w:b/>
                <w:bCs/>
              </w:rPr>
              <w:t xml:space="preserve">Finding reference</w:t>
            </w:r>
          </w:p>
        </w:tc>
        <w:tc>
          <w:tcPr/>
          <w:p>
            <w:pPr>
              <w:pStyle w:val="Compact"/>
            </w:pPr>
            <w:r>
              <w:t xml:space="preserve">Patch/erratum id, CVE, and KEV flag where applicable</w:t>
            </w:r>
          </w:p>
        </w:tc>
        <w:tc>
          <w:tcPr/>
          <w:p>
            <w:pPr>
              <w:pStyle w:val="Compact"/>
            </w:pPr>
            <w:r>
              <w:t xml:space="preserve">Joins the record back to the Book 02 assessment queue entry it closes</w:t>
            </w:r>
          </w:p>
        </w:tc>
      </w:tr>
      <w:tr>
        <w:tc>
          <w:tcPr/>
          <w:p>
            <w:pPr>
              <w:pStyle w:val="Compact"/>
            </w:pPr>
            <w:r>
              <w:rPr>
                <w:b/>
                <w:bCs/>
              </w:rPr>
              <w:t xml:space="preserve">SLA class</w:t>
            </w:r>
          </w:p>
        </w:tc>
        <w:tc>
          <w:tcPr/>
          <w:p>
            <w:pPr>
              <w:pStyle w:val="Compact"/>
            </w:pPr>
            <w:r>
              <w:t xml:space="preserve">The remediation-SLA class assigned at assessment (SI-2(3), BOD 26-04 model)</w:t>
            </w:r>
          </w:p>
        </w:tc>
        <w:tc>
          <w:tcPr/>
          <w:p>
            <w:pPr>
              <w:pStyle w:val="Compact"/>
            </w:pPr>
            <w:r>
              <w:t xml:space="preserve">Whether the closure beat its clock is a fact, not a recollection</w:t>
            </w:r>
          </w:p>
        </w:tc>
      </w:tr>
      <w:tr>
        <w:tc>
          <w:tcPr/>
          <w:p>
            <w:pPr>
              <w:pStyle w:val="Compact"/>
            </w:pPr>
            <w:r>
              <w:rPr>
                <w:b/>
                <w:bCs/>
              </w:rPr>
              <w:t xml:space="preserve">Status + evidence pointer</w:t>
            </w:r>
          </w:p>
        </w:tc>
        <w:tc>
          <w:tcPr/>
          <w:p>
            <w:pPr>
              <w:pStyle w:val="Compact"/>
            </w:pPr>
            <w:r>
              <w:t xml:space="preserve">success / failed / deferred, with the job or association id</w:t>
            </w:r>
          </w:p>
        </w:tc>
        <w:tc>
          <w:tcPr/>
          <w:p>
            <w:pPr>
              <w:pStyle w:val="Compact"/>
            </w:pPr>
            <w:r>
              <w:t xml:space="preserve">The pointer the evidence contract lifts into attestation</w:t>
            </w:r>
          </w:p>
        </w:tc>
      </w:tr>
    </w:tbl>
    <w:p>
      <w:pPr>
        <w:pStyle w:val="BodyText"/>
      </w:pPr>
      <w:r>
        <w:t xml:space="preserve">Three emitters realize the contract, none of them new architecture:</w:t>
      </w:r>
      <w:r>
        <w:t xml:space="preserve"> </w:t>
      </w:r>
      <w:r>
        <w:rPr>
          <w:b/>
          <w:bCs/>
        </w:rPr>
        <w:t xml:space="preserve">Satellite/AAP</w:t>
      </w:r>
      <w:r>
        <w:t xml:space="preserve"> </w:t>
      </w:r>
      <w:r>
        <w:t xml:space="preserve">job and remediation callbacks post completion records</w:t>
      </w:r>
      <w:r>
        <w:t xml:space="preserve"> </w:t>
      </w:r>
      <w:r>
        <w:t xml:space="preserve">through the coordination layer’s existing inbound integration (the Vol VII</w:t>
      </w:r>
      <w:r>
        <w:t xml:space="preserve"> </w:t>
      </w:r>
      <w:r>
        <w:t xml:space="preserve">pattern — IntegrationHub via the in-boundary MID);</w:t>
      </w:r>
      <w:r>
        <w:t xml:space="preserve"> </w:t>
      </w:r>
      <w:r>
        <w:rPr>
          <w:b/>
          <w:bCs/>
        </w:rPr>
        <w:t xml:space="preserve">SSM Patch Manager</w:t>
      </w:r>
      <w:r>
        <w:t xml:space="preserve"> </w:t>
      </w:r>
      <w:r>
        <w:t xml:space="preserve">patch-compliance state changes surface through EventBridge to the same</w:t>
      </w:r>
      <w:r>
        <w:t xml:space="preserve"> </w:t>
      </w:r>
      <w:r>
        <w:t xml:space="preserve">inbound lane; and either path lands as an update to the open SI-2 remediation</w:t>
      </w:r>
      <w:r>
        <w:t xml:space="preserve"> </w:t>
      </w:r>
      <w:r>
        <w:t xml:space="preserve">task rather than a new record type.</w:t>
      </w:r>
      <w:r>
        <w:t xml:space="preserve"> </w:t>
      </w:r>
      <w:r>
        <w:rPr>
          <w:b/>
          <w:bCs/>
        </w:rPr>
        <w:t xml:space="preserve">CM-2/CM-6 baseline recording</w:t>
      </w:r>
      <w:r>
        <w:t xml:space="preserve"> </w:t>
      </w:r>
      <w:r>
        <w:t xml:space="preserve">rides</w:t>
      </w:r>
      <w:r>
        <w:t xml:space="preserve"> </w:t>
      </w:r>
      <w:r>
        <w:t xml:space="preserve">the same rails: the SSM State Manager association and the Ansible playbook</w:t>
      </w:r>
      <w:r>
        <w:t xml:space="preserve"> </w:t>
      </w:r>
      <w:r>
        <w:t xml:space="preserve">version that define the estate’s desired state are recorded as the baseline</w:t>
      </w:r>
      <w:r>
        <w:t xml:space="preserve"> </w:t>
      </w:r>
      <w:r>
        <w:t xml:space="preserve">artifacts the configuration-state section above requires, so drift is judged</w:t>
      </w:r>
      <w:r>
        <w:t xml:space="preserve"> </w:t>
      </w:r>
      <w:r>
        <w:t xml:space="preserve">against a versioned baseline, not a console memory.</w:t>
      </w:r>
    </w:p>
    <w:p>
      <w:pPr>
        <w:pStyle w:val="BodyText"/>
      </w:pPr>
      <w:r>
        <w:rPr>
          <w:b/>
          <w:bCs/>
        </w:rPr>
        <w:t xml:space="preserve">The Insights decision, recorded:</w:t>
      </w:r>
      <w:r>
        <w:t xml:space="preserve"> </w:t>
      </w:r>
      <w:r>
        <w:t xml:space="preserve">Red Hat Insights remains</w:t>
      </w:r>
      <w:r>
        <w:t xml:space="preserve"> </w:t>
      </w:r>
      <w:r>
        <w:rPr>
          <w:b/>
          <w:bCs/>
        </w:rPr>
        <w:t xml:space="preserve">excluded</w:t>
      </w:r>
      <w:r>
        <w:t xml:space="preserve"> </w:t>
      </w:r>
      <w:r>
        <w:t xml:space="preserve">from the boundary until an authorization review admits it — the SaaS</w:t>
      </w:r>
      <w:r>
        <w:t xml:space="preserve"> </w:t>
      </w:r>
      <w:r>
        <w:t xml:space="preserve">telemetry path is the accreditation-substrate exception noted above, and</w:t>
      </w:r>
      <w:r>
        <w:t xml:space="preserve"> </w:t>
      </w:r>
      <w:r>
        <w:t xml:space="preserve">exclusion-by-default is the documented posture, not an oversight. Satellite</w:t>
      </w:r>
      <w:r>
        <w:t xml:space="preserve"> </w:t>
      </w:r>
      <w:r>
        <w:t xml:space="preserve">and AAP, running in-boundary, carry the full contract without it.</w:t>
      </w:r>
    </w:p>
    <w:bookmarkEnd w:id="20"/>
    <w:bookmarkStart w:id="21" w:name="Xa5a910deb4afca1211ea202fb6fbf0ce5e2b7bc"/>
    <w:p>
      <w:pPr>
        <w:pStyle w:val="Heading2"/>
      </w:pPr>
      <w:r>
        <w:t xml:space="preserve">8.2 The 5.2 assessment feed — Inspector into the Book 02 queue</w:t>
      </w:r>
    </w:p>
    <w:p>
      <w:pPr>
        <w:pStyle w:val="FirstParagraph"/>
      </w:pPr>
      <w:r>
        <w:t xml:space="preserve">The assessment half stays where the doctrine put it: the Vulnerability</w:t>
      </w:r>
      <w:r>
        <w:t xml:space="preserve"> </w:t>
      </w:r>
      <w:r>
        <w:t xml:space="preserve">Management book’s queue is the</w:t>
      </w:r>
      <w:r>
        <w:t xml:space="preserve"> </w:t>
      </w:r>
      <w:r>
        <w:rPr>
          <w:i/>
          <w:iCs/>
        </w:rPr>
        <w:t xml:space="preserve">only</w:t>
      </w:r>
      <w:r>
        <w:t xml:space="preserve"> </w:t>
      </w:r>
      <w:r>
        <w:t xml:space="preserve">RA-5 priority queue, and the AWS estate</w:t>
      </w:r>
      <w:r>
        <w:t xml:space="preserve"> </w:t>
      </w:r>
      <w:r>
        <w:t xml:space="preserve">feeds it rather than growing one of its own.</w:t>
      </w:r>
      <w:r>
        <w:t xml:space="preserve"> </w:t>
      </w:r>
      <w:r>
        <w:rPr>
          <w:b/>
          <w:bCs/>
        </w:rPr>
        <w:t xml:space="preserve">AWS Inspector</w:t>
      </w:r>
      <w:r>
        <w:t xml:space="preserve"> </w:t>
      </w:r>
      <w:r>
        <w:t xml:space="preserve">findings for</w:t>
      </w:r>
      <w:r>
        <w:t xml:space="preserve"> </w:t>
      </w:r>
      <w:r>
        <w:t xml:space="preserve">the RedHat instances (and Insights advisories, if and when admitted) enter</w:t>
      </w:r>
      <w:r>
        <w:t xml:space="preserve"> </w:t>
      </w:r>
      <w:r>
        <w:t xml:space="preserve">the same KEV-weighted, SLA-ranked queue keyed to the CM-8 join key — the</w:t>
      </w:r>
      <w:r>
        <w:t xml:space="preserve"> </w:t>
      </w:r>
      <w:r>
        <w:t xml:space="preserve">per-CSP scanner is an assessment</w:t>
      </w:r>
      <w:r>
        <w:t xml:space="preserve"> </w:t>
      </w:r>
      <w:r>
        <w:rPr>
          <w:i/>
          <w:iCs/>
        </w:rPr>
        <w:t xml:space="preserve">source</w:t>
      </w:r>
      <w:r>
        <w:t xml:space="preserve">, never a second prioritization</w:t>
      </w:r>
      <w:r>
        <w:t xml:space="preserve"> </w:t>
      </w:r>
      <w:r>
        <w:t xml:space="preserve">authority. Aggregation rides what Volume III already runs: Inspector findings</w:t>
      </w:r>
      <w:r>
        <w:t xml:space="preserve"> </w:t>
      </w:r>
      <w:r>
        <w:t xml:space="preserve">consolidate through</w:t>
      </w:r>
      <w:r>
        <w:t xml:space="preserve"> </w:t>
      </w:r>
      <w:r>
        <w:rPr>
          <w:b/>
          <w:bCs/>
        </w:rPr>
        <w:t xml:space="preserve">Security Hub</w:t>
      </w:r>
      <w:r>
        <w:t xml:space="preserve">, whose feed — with GuardDuty and</w:t>
      </w:r>
      <w:r>
        <w:t xml:space="preserve"> </w:t>
      </w:r>
      <w:r>
        <w:t xml:space="preserve">CloudTrail — the</w:t>
      </w:r>
      <w:r>
        <w:t xml:space="preserve"> </w:t>
      </w:r>
      <w:r>
        <w:rPr>
          <w:b/>
          <w:bCs/>
        </w:rPr>
        <w:t xml:space="preserve">Multi-Cloud Evidence Fabric</w:t>
      </w:r>
      <w:r>
        <w:t xml:space="preserve"> </w:t>
      </w:r>
      <w:r>
        <w:t xml:space="preserve">book already ingests via the</w:t>
      </w:r>
      <w:r>
        <w:t xml:space="preserve"> </w:t>
      </w:r>
      <w:r>
        <w:t xml:space="preserve">analytics lake. Closure flows back through this book’s actuation matrix and</w:t>
      </w:r>
      <w:r>
        <w:t xml:space="preserve"> </w:t>
      </w:r>
      <w:r>
        <w:t xml:space="preserve">the 5.1 emission contract above, so assessment-to-closure is one loop across</w:t>
      </w:r>
      <w:r>
        <w:t xml:space="preserve"> </w:t>
      </w:r>
      <w:r>
        <w:t xml:space="preserve">both clouds, not two parallel programs.</w:t>
      </w:r>
    </w:p>
    <w:bookmarkEnd w:id="21"/>
    <w:bookmarkEnd w:id="22"/>
    <w:bookmarkStart w:id="23" w:name="Xa0f6aefb90bcd4ac22cfaa1f54561897ec9cb9b"/>
    <w:p>
      <w:pPr>
        <w:pStyle w:val="Heading1"/>
      </w:pPr>
      <w:r>
        <w:t xml:space="preserve">9. Closure Necessity — Remediation Has No Substitute</w:t>
      </w:r>
    </w:p>
    <w:p>
      <w:pPr>
        <w:pStyle w:val="BlockText"/>
      </w:pPr>
      <w:r>
        <w:rPr>
          <w:b/>
          <w:bCs/>
        </w:rPr>
        <w:t xml:space="preserve">Closure Necessity — SI-2 across platforms.</w:t>
      </w:r>
      <w:r>
        <w:t xml:space="preserve"> </w:t>
      </w:r>
      <w:r>
        <w:t xml:space="preserve">No conformance scan, no policy</w:t>
      </w:r>
      <w:r>
        <w:t xml:space="preserve"> </w:t>
      </w:r>
      <w:r>
        <w:t xml:space="preserve">document, and no single-vendor console closes SI-2 on a genuinely multi-cloud</w:t>
      </w:r>
      <w:r>
        <w:t xml:space="preserve"> </w:t>
      </w:r>
      <w:r>
        <w:t xml:space="preserve">estate. The flaw is closed only when the platform-native orchestration stack</w:t>
      </w:r>
      <w:r>
        <w:t xml:space="preserve"> </w:t>
      </w:r>
      <w:r>
        <w:t xml:space="preserve">applies the patch on its own platform, and the estate is</w:t>
      </w:r>
      <w:r>
        <w:t xml:space="preserve"> </w:t>
      </w:r>
      <w:r>
        <w:rPr>
          <w:i/>
          <w:iCs/>
        </w:rPr>
        <w:t xml:space="preserve">provably</w:t>
      </w:r>
      <w:r>
        <w:t xml:space="preserve"> </w:t>
      </w:r>
      <w:r>
        <w:t xml:space="preserve">closed only</w:t>
      </w:r>
      <w:r>
        <w:t xml:space="preserve"> </w:t>
      </w:r>
      <w:r>
        <w:t xml:space="preserve">when each stack emits a remediation-status record keyed to authoritative asset</w:t>
      </w:r>
      <w:r>
        <w:t xml:space="preserve"> </w:t>
      </w:r>
      <w:r>
        <w:t xml:space="preserve">identity. Remove the actuation and SI-2 is open; remove the join key and SI-2 is</w:t>
      </w:r>
      <w:r>
        <w:t xml:space="preserve"> </w:t>
      </w:r>
      <w:r>
        <w:t xml:space="preserve">unprovable.</w:t>
      </w:r>
    </w:p>
    <w:bookmarkEnd w:id="23"/>
    <w:bookmarkStart w:id="24" w:name="Xebd9fbc0874ac437cee95afe649484f9b290fc1"/>
    <w:p>
      <w:pPr>
        <w:pStyle w:val="Heading1"/>
      </w:pPr>
      <w:r>
        <w:t xml:space="preserve">10. 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Note RA-5 appears as a</w:t>
      </w:r>
      <w:r>
        <w:t xml:space="preserve"> </w:t>
      </w:r>
      <w:r>
        <w:rPr>
          <w:i/>
          <w:iCs/>
        </w:rPr>
        <w:t xml:space="preserve">handoff</w:t>
      </w:r>
      <w:r>
        <w:t xml:space="preserve"> </w:t>
      </w:r>
      <w:r>
        <w:t xml:space="preserve">row — the assessment is the Vulnerability Management book’s; this book</w:t>
      </w:r>
      <w:r>
        <w:t xml:space="preserve"> </w:t>
      </w:r>
      <w:r>
        <w:t xml:space="preserve">closes the SI-2 and CM families that act on it.</w:t>
      </w:r>
    </w:p>
    <w:p>
      <w:pPr>
        <w:pStyle w:val="TableCaption"/>
      </w:pPr>
      <w:r>
        <w:t xml:space="preserve">Authorities Closed Here — Patch &amp; Systems Management (multi-CSP SI-2/CM) († = Closure-Necessity anchor: no alternate closure path)</w:t>
      </w:r>
    </w:p>
    <w:tbl>
      <w:tblPr>
        <w:tblStyle w:val="Table"/>
        <w:tblW w:type="pct" w:w="5000"/>
        <w:tblLayout w:type="fixed"/>
        <w:tblLook w:firstRow="1" w:lastRow="0" w:firstColumn="0" w:lastColumn="0" w:noHBand="0" w:noVBand="0" w:val="0020"/>
        <w:tblCaption w:val="Authorities Closed Here — Patch &amp; Systems Management (multi-CSP SI-2/CM)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 †</w:t>
            </w:r>
          </w:p>
        </w:tc>
        <w:tc>
          <w:tcPr/>
          <w:p>
            <w:pPr>
              <w:pStyle w:val="Compact"/>
            </w:pPr>
            <w:r>
              <w:t xml:space="preserve">System Component Inventory</w:t>
            </w:r>
          </w:p>
        </w:tc>
        <w:tc>
          <w:tcPr/>
          <w:p>
            <w:pPr>
              <w:pStyle w:val="Compact"/>
            </w:pPr>
            <w:r>
              <w:t xml:space="preserve">IPAM-keyed asset identity as the join key correlating all native-stack inventories (naming-plane necessity)</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Assessment handoff FROM Book 11 (scan measures the gap; this book actuates remediation)</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KSI-MLA</w:t>
            </w:r>
          </w:p>
        </w:tc>
        <w:tc>
          <w:tcPr/>
          <w:p>
            <w:pPr>
              <w:pStyle w:val="Compact"/>
            </w:pPr>
            <w:r>
              <w:t xml:space="preserve">No</w:t>
            </w:r>
          </w:p>
        </w:tc>
      </w:tr>
      <w:tr>
        <w:tc>
          <w:tcPr/>
          <w:p>
            <w:pPr>
              <w:pStyle w:val="Compact"/>
            </w:pPr>
            <w:r>
              <w:t xml:space="preserve">CM-2</w:t>
            </w:r>
          </w:p>
        </w:tc>
        <w:tc>
          <w:tcPr/>
          <w:p>
            <w:pPr>
              <w:pStyle w:val="Compact"/>
            </w:pPr>
            <w:r>
              <w:t xml:space="preserve">Baseline Configuration</w:t>
            </w:r>
          </w:p>
        </w:tc>
        <w:tc>
          <w:tcPr/>
          <w:p>
            <w:pPr>
              <w:pStyle w:val="Compact"/>
            </w:pPr>
            <w:r>
              <w:t xml:space="preserve">Desired-state config baseline per platform (Azure Machine Config, SSM State Manager, Aria, Ansible)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Endpoint</w:t>
            </w:r>
          </w:p>
        </w:tc>
        <w:tc>
          <w:tcPr/>
          <w:p>
            <w:pPr>
              <w:pStyle w:val="Compact"/>
            </w:pPr>
            <w:r>
              <w:t xml:space="preserve">KSI-CMT</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Drift detection + reconciliation against the baseline; drift record to the evidence contract</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Endpoint</w:t>
            </w:r>
          </w:p>
        </w:tc>
        <w:tc>
          <w:tcPr/>
          <w:p>
            <w:pPr>
              <w:pStyle w:val="Compact"/>
            </w:pPr>
            <w:r>
              <w:t xml:space="preserve">KSI-CMT</w:t>
            </w:r>
          </w:p>
        </w:tc>
        <w:tc>
          <w:tcPr/>
          <w:p>
            <w:pPr>
              <w:pStyle w:val="Compact"/>
            </w:pPr>
            <w:r>
              <w:t xml:space="preserve">No</w:t>
            </w:r>
          </w:p>
        </w:tc>
      </w:tr>
      <w:tr>
        <w:tc>
          <w:tcPr/>
          <w:p>
            <w:pPr>
              <w:pStyle w:val="Compact"/>
            </w:pPr>
            <w:r>
              <w:t xml:space="preserve">SI-2 †</w:t>
            </w:r>
          </w:p>
        </w:tc>
        <w:tc>
          <w:tcPr/>
          <w:p>
            <w:pPr>
              <w:pStyle w:val="Compact"/>
            </w:pPr>
            <w:r>
              <w:t xml:space="preserve">Flaw Remediation</w:t>
            </w:r>
          </w:p>
        </w:tc>
        <w:tc>
          <w:tcPr/>
          <w:p>
            <w:pPr>
              <w:pStyle w:val="Compact"/>
            </w:pPr>
            <w:r>
              <w:t xml:space="preserve">Platform-native patch orchestration per CSP × OS (Intune/Arc, SSM, OS Mgmt Hub/Ksplice, vLCM, Satellite/Ansible)</w:t>
            </w:r>
          </w:p>
        </w:tc>
        <w:tc>
          <w:tcPr/>
          <w:p>
            <w:pPr>
              <w:pStyle w:val="Compact"/>
            </w:pPr>
            <w:r>
              <w:t xml:space="preserve">FedRAMP Moderate</w:t>
            </w:r>
          </w:p>
        </w:tc>
        <w:tc>
          <w:tcPr/>
          <w:p>
            <w:pPr>
              <w:pStyle w:val="Compact"/>
            </w:pPr>
            <w:r>
              <w:t xml:space="preserve">NIST SP 800-53 Rev 5; CISA BOD 26-04; EO 14028</w:t>
            </w:r>
          </w:p>
        </w:tc>
        <w:tc>
          <w:tcPr/>
          <w:p>
            <w:pPr>
              <w:pStyle w:val="Compact"/>
            </w:pPr>
            <w:r>
              <w:t xml:space="preserve">Endpoint</w:t>
            </w:r>
          </w:p>
        </w:tc>
        <w:tc>
          <w:tcPr/>
          <w:p>
            <w:pPr>
              <w:pStyle w:val="Compact"/>
            </w:pPr>
            <w:r>
              <w:t xml:space="preserve">KSI-SVC, KSI-MLA</w:t>
            </w:r>
          </w:p>
        </w:tc>
        <w:tc>
          <w:tcPr/>
          <w:p>
            <w:pPr>
              <w:pStyle w:val="Compact"/>
            </w:pPr>
            <w:r>
              <w:t xml:space="preserve">No</w:t>
            </w:r>
          </w:p>
        </w:tc>
      </w:tr>
      <w:tr>
        <w:tc>
          <w:tcPr/>
          <w:p>
            <w:pPr>
              <w:pStyle w:val="Compact"/>
            </w:pPr>
            <w:r>
              <w:t xml:space="preserve">SI-2(2)</w:t>
            </w:r>
          </w:p>
        </w:tc>
        <w:tc>
          <w:tcPr/>
          <w:p>
            <w:pPr>
              <w:pStyle w:val="Compact"/>
            </w:pPr>
            <w:r>
              <w:t xml:space="preserve">Automated Flaw Remediation Status</w:t>
            </w:r>
          </w:p>
        </w:tc>
        <w:tc>
          <w:tcPr/>
          <w:p>
            <w:pPr>
              <w:pStyle w:val="Compact"/>
            </w:pPr>
            <w:r>
              <w:t xml:space="preserve">Machine-readable remediation-status record emitted by each native stack into the unified evidence contract</w:t>
            </w:r>
          </w:p>
        </w:tc>
        <w:tc>
          <w:tcPr/>
          <w:p>
            <w:pPr>
              <w:pStyle w:val="Compact"/>
            </w:pPr>
            <w:r>
              <w:t xml:space="preserve">FedRAMP Moderate</w:t>
            </w:r>
          </w:p>
        </w:tc>
        <w:tc>
          <w:tcPr/>
          <w:p>
            <w:pPr>
              <w:pStyle w:val="Compact"/>
            </w:pPr>
            <w:r>
              <w:t xml:space="preserve">NIST SP 800-53 Rev 5; CISA CDM</w:t>
            </w:r>
          </w:p>
        </w:tc>
        <w:tc>
          <w:tcPr/>
          <w:p>
            <w:pPr>
              <w:pStyle w:val="Compact"/>
            </w:pPr>
            <w:r>
              <w:t xml:space="preserve">Endpoint</w:t>
            </w:r>
          </w:p>
        </w:tc>
        <w:tc>
          <w:tcPr/>
          <w:p>
            <w:pPr>
              <w:pStyle w:val="Compact"/>
            </w:pPr>
            <w:r>
              <w:t xml:space="preserve">KSI-SVC, KSI-MLA</w:t>
            </w:r>
          </w:p>
        </w:tc>
        <w:tc>
          <w:tcPr/>
          <w:p>
            <w:pPr>
              <w:pStyle w:val="Compact"/>
            </w:pPr>
            <w:r>
              <w:t xml:space="preserve">No</w:t>
            </w:r>
          </w:p>
        </w:tc>
      </w:tr>
      <w:tr>
        <w:tc>
          <w:tcPr/>
          <w:p>
            <w:pPr>
              <w:pStyle w:val="Compact"/>
            </w:pPr>
            <w:r>
              <w:t xml:space="preserve">SI-2(3)</w:t>
            </w:r>
          </w:p>
        </w:tc>
        <w:tc>
          <w:tcPr/>
          <w:p>
            <w:pPr>
              <w:pStyle w:val="Compact"/>
            </w:pPr>
            <w:r>
              <w:t xml:space="preserve">Time to Remediate Flaws and Benchmarks for Corrective Actions</w:t>
            </w:r>
          </w:p>
        </w:tc>
        <w:tc>
          <w:tcPr/>
          <w:p>
            <w:pPr>
              <w:pStyle w:val="Compact"/>
            </w:pPr>
            <w:r>
              <w:t xml:space="preserve">Remediation-SLA class per asset, keyed to KEV/exposure (BOD 26-04 four-variable model)</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w:t>
            </w:r>
          </w:p>
        </w:tc>
        <w:tc>
          <w:tcPr/>
          <w:p>
            <w:pPr>
              <w:pStyle w:val="Compact"/>
            </w:pPr>
            <w:r>
              <w:t xml:space="preserve">No</w:t>
            </w:r>
          </w:p>
        </w:tc>
      </w:tr>
    </w:tbl>
    <w:bookmarkEnd w:id="24"/>
    <w:bookmarkStart w:id="26" w:name="fedramp-20x-ksi-alignment"/>
    <w:p>
      <w:pPr>
        <w:pStyle w:val="Heading1"/>
      </w:pPr>
      <w:r>
        <w:t xml:space="preserve">11. FedRAMP 20x KSI Alignment</w:t>
      </w:r>
    </w:p>
    <w:p>
      <w:pPr>
        <w:pStyle w:val="FirstParagraph"/>
      </w:pPr>
      <w:r>
        <w:t xml:space="preserve">SI-2 and its enhancements feed</w:t>
      </w:r>
      <w:r>
        <w:t xml:space="preserve"> </w:t>
      </w:r>
      <w:r>
        <w:rPr>
          <w:b/>
          <w:bCs/>
        </w:rPr>
        <w:t xml:space="preserve">KSI-SVC</w:t>
      </w:r>
      <w:r>
        <w:t xml:space="preserve"> </w:t>
      </w:r>
      <w:r>
        <w:t xml:space="preserve">(Service Configuration) and</w:t>
      </w:r>
      <w:r>
        <w:t xml:space="preserve"> </w:t>
      </w:r>
      <w:r>
        <w:rPr>
          <w:b/>
          <w:bCs/>
        </w:rPr>
        <w:t xml:space="preserve">KSI-MLA</w:t>
      </w:r>
      <w:r>
        <w:t xml:space="preserve"> </w:t>
      </w:r>
      <w:r>
        <w:t xml:space="preserve">(Monitoring, Logging, and Auditing); CM-2 and CM-6 feed</w:t>
      </w:r>
      <w:r>
        <w:t xml:space="preserve"> </w:t>
      </w:r>
      <w:r>
        <w:rPr>
          <w:b/>
          <w:bCs/>
        </w:rPr>
        <w:t xml:space="preserve">KSI-CMT</w:t>
      </w:r>
      <w:r>
        <w:t xml:space="preserve"> </w:t>
      </w:r>
      <w:r>
        <w:t xml:space="preserve">(Change Management), and CM-8 feeds</w:t>
      </w:r>
      <w:r>
        <w:t xml:space="preserve"> </w:t>
      </w:r>
      <w:r>
        <w:rPr>
          <w:b/>
          <w:bCs/>
        </w:rPr>
        <w:t xml:space="preserve">KSI-PIY</w:t>
      </w:r>
      <w:r>
        <w:t xml:space="preserve"> </w:t>
      </w:r>
      <w:r>
        <w:t xml:space="preserve">(Policy and Inventory). In each case the KSI is attested from the unified</w:t>
      </w:r>
      <w:r>
        <w:t xml:space="preserve"> </w:t>
      </w:r>
      <w:r>
        <w:t xml:space="preserve">compliance record — the same record every native stack emits — not from a</w:t>
      </w:r>
      <w:r>
        <w:t xml:space="preserve"> </w:t>
      </w:r>
      <w:r>
        <w:t xml:space="preserve">single-tenant scan, which is why the</w:t>
      </w:r>
      <w:r>
        <w:t xml:space="preserve"> </w:t>
      </w:r>
      <w:r>
        <w:rPr>
          <w:i/>
          <w:iCs/>
        </w:rPr>
        <w:t xml:space="preserve">Tool-attestable?</w:t>
      </w:r>
      <w:r>
        <w:t xml:space="preserve"> </w:t>
      </w:r>
      <w:r>
        <w:t xml:space="preserve">column is</w:t>
      </w:r>
      <w:r>
        <w:t xml:space="preserve"> </w:t>
      </w:r>
      <w:r>
        <w:rPr>
          <w:b/>
          <w:bCs/>
        </w:rPr>
        <w:t xml:space="preserve">No</w:t>
      </w:r>
      <w:r>
        <w:t xml:space="preserve"> </w:t>
      </w:r>
      <w:r>
        <w:t xml:space="preserve">and the</w:t>
      </w:r>
      <w:r>
        <w:t xml:space="preserve"> </w:t>
      </w:r>
      <w:r>
        <w:t xml:space="preserve">evidence routes through the coordination contract and CDM. This is the multi-CSP</w:t>
      </w:r>
      <w:r>
        <w:t xml:space="preserve"> </w:t>
      </w:r>
      <w:r>
        <w:t xml:space="preserve">generalization of the machine-readable RA-5/SI-2 artifact the Vulnerability</w:t>
      </w:r>
      <w:r>
        <w:t xml:space="preserve"> </w:t>
      </w:r>
      <w:r>
        <w:t xml:space="preserve">Management book produces for the Microsoft estate.</w:t>
      </w:r>
    </w:p>
    <w:bookmarkStart w:id="25" w:name="stack-selection-status"/>
    <w:p>
      <w:pPr>
        <w:pStyle w:val="Heading2"/>
      </w:pPr>
      <w:r>
        <w:t xml:space="preserve">11.1 Stack Selection Status</w:t>
      </w:r>
    </w:p>
    <w:p>
      <w:pPr>
        <w:pStyle w:val="FirstParagraph"/>
      </w:pPr>
      <w:r>
        <w:t xml:space="preserve">Patch and systems-management stack selections follow the agency’s platform</w:t>
      </w:r>
      <w:r>
        <w:t xml:space="preserve"> </w:t>
      </w:r>
      <w:r>
        <w:t xml:space="preserve">footprint and are pending procurement review. The native stacks mapped here are</w:t>
      </w:r>
      <w:r>
        <w:t xml:space="preserve"> </w:t>
      </w:r>
      <w:r>
        <w:t xml:space="preserve">each FedRAMP-authorized CSP capabilities; the cross-CSP overlay option</w:t>
      </w:r>
      <w:r>
        <w:t xml:space="preserve"> </w:t>
      </w:r>
      <w:r>
        <w:t xml:space="preserve">(Tanium / BigFix / Ivanti) is an alternative, not a requirement. Final selection</w:t>
      </w:r>
      <w:r>
        <w:t xml:space="preserve"> </w:t>
      </w:r>
      <w:r>
        <w:t xml:space="preserve">requires verification of each stack’s authorization on the FedRAMP Marketplace,</w:t>
      </w:r>
      <w:r>
        <w:t xml:space="preserve"> </w:t>
      </w:r>
      <w:r>
        <w:t xml:space="preserve">plus agency-specific environment testing and procurement authority.</w:t>
      </w:r>
    </w:p>
    <w:bookmarkEnd w:id="25"/>
    <w:bookmarkEnd w:id="26"/>
    <w:bookmarkStart w:id="41" w:name="references"/>
    <w:p>
      <w:pPr>
        <w:pStyle w:val="Heading1"/>
      </w:pPr>
      <w:r>
        <w:t xml:space="preserve">12. 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SI-2, SI-2(2), SI-2(3), CM-2, CM-6, CM-8, RA-5</w:t>
            </w:r>
          </w:p>
        </w:tc>
      </w:tr>
      <w:tr>
        <w:tc>
          <w:tcPr/>
          <w:p>
            <w:pPr>
              <w:pStyle w:val="Compact"/>
            </w:pPr>
            <w:r>
              <w:t xml:space="preserve">CISA BOD 26-04</w:t>
            </w:r>
          </w:p>
        </w:tc>
        <w:tc>
          <w:tcPr/>
          <w:p>
            <w:pPr>
              <w:pStyle w:val="Compact"/>
            </w:pPr>
            <w:r>
              <w:t xml:space="preserve">Risk-based remediation; KEV listing is one of four variables. Known Exploited Vulnerabilities catalog —</w:t>
            </w:r>
            <w:r>
              <w:t xml:space="preserve"> </w:t>
            </w:r>
            <w:hyperlink r:id="rId27">
              <w:r>
                <w:rPr>
                  <w:rStyle w:val="Hyperlink"/>
                </w:rPr>
                <w:t xml:space="preserve">https://www.cisa.gov/known-exploited-vulnerabilities-catalog</w:t>
              </w:r>
            </w:hyperlink>
          </w:p>
        </w:tc>
      </w:tr>
      <w:tr>
        <w:tc>
          <w:tcPr/>
          <w:p>
            <w:pPr>
              <w:pStyle w:val="Compact"/>
            </w:pPr>
            <w:r>
              <w:t xml:space="preserve">CISA BOD 23-01</w:t>
            </w:r>
          </w:p>
        </w:tc>
        <w:tc>
          <w:tcPr/>
          <w:p>
            <w:pPr>
              <w:pStyle w:val="Compact"/>
            </w:pPr>
            <w:r>
              <w:t xml:space="preserve">Asset visibility &amp; vulnerability enumeration —</w:t>
            </w:r>
            <w:r>
              <w:t xml:space="preserve"> </w:t>
            </w:r>
            <w:hyperlink r:id="rId28">
              <w:r>
                <w:rPr>
                  <w:rStyle w:val="Hyperlink"/>
                </w:rPr>
                <w:t xml:space="preserve">https://www.cisa.gov/news-events/directives/bod-23-01-improving-asset-visibility-and-vulnerability-detection-federal-networks</w:t>
              </w:r>
            </w:hyperlink>
          </w:p>
        </w:tc>
      </w:tr>
      <w:tr>
        <w:tc>
          <w:tcPr/>
          <w:p>
            <w:pPr>
              <w:pStyle w:val="Compact"/>
            </w:pPr>
            <w:r>
              <w:t xml:space="preserve">CISA CDM Program</w:t>
            </w:r>
          </w:p>
        </w:tc>
        <w:tc>
          <w:tcPr/>
          <w:p>
            <w:pPr>
              <w:pStyle w:val="Compact"/>
            </w:pPr>
            <w:r>
              <w:t xml:space="preserve">Continuous Diagnostics &amp; Mitigation —</w:t>
            </w:r>
            <w:r>
              <w:t xml:space="preserve"> </w:t>
            </w:r>
            <w:hyperlink r:id="rId29">
              <w:r>
                <w:rPr>
                  <w:rStyle w:val="Hyperlink"/>
                </w:rPr>
                <w:t xml:space="preserve">https://www.cisa.gov/cdm</w:t>
              </w:r>
            </w:hyperlink>
          </w:p>
        </w:tc>
      </w:tr>
      <w:tr>
        <w:tc>
          <w:tcPr/>
          <w:p>
            <w:pPr>
              <w:pStyle w:val="Compact"/>
            </w:pPr>
            <w:r>
              <w:t xml:space="preserve">FedRAMP Marketplace</w:t>
            </w:r>
          </w:p>
        </w:tc>
        <w:tc>
          <w:tcPr/>
          <w:p>
            <w:pPr>
              <w:pStyle w:val="Compact"/>
            </w:pPr>
            <w:r>
              <w:t xml:space="preserve">CSP service authorization verification —</w:t>
            </w:r>
            <w:r>
              <w:t xml:space="preserve"> </w:t>
            </w:r>
            <w:hyperlink r:id="rId30">
              <w:r>
                <w:rPr>
                  <w:rStyle w:val="Hyperlink"/>
                </w:rPr>
                <w:t xml:space="preserve">https://marketplace.fedramp.gov/</w:t>
              </w:r>
            </w:hyperlink>
          </w:p>
        </w:tc>
      </w:tr>
      <w:tr>
        <w:tc>
          <w:tcPr/>
          <w:p>
            <w:pPr>
              <w:pStyle w:val="Compact"/>
            </w:pPr>
            <w:r>
              <w:t xml:space="preserve">Microsoft Azure Update Manager</w:t>
            </w:r>
          </w:p>
        </w:tc>
        <w:tc>
          <w:tcPr/>
          <w:p>
            <w:pPr>
              <w:pStyle w:val="Compact"/>
            </w:pPr>
            <w:r>
              <w:t xml:space="preserve">Windows/Linux update management (+ Arc) —</w:t>
            </w:r>
            <w:r>
              <w:t xml:space="preserve"> </w:t>
            </w:r>
            <w:hyperlink r:id="rId31">
              <w:r>
                <w:rPr>
                  <w:rStyle w:val="Hyperlink"/>
                </w:rPr>
                <w:t xml:space="preserve">https://learn.microsoft.com/azure/update-manager/</w:t>
              </w:r>
            </w:hyperlink>
          </w:p>
        </w:tc>
      </w:tr>
      <w:tr>
        <w:tc>
          <w:tcPr/>
          <w:p>
            <w:pPr>
              <w:pStyle w:val="Compact"/>
            </w:pPr>
            <w:r>
              <w:t xml:space="preserve">Microsoft Intune / Windows Update for Business</w:t>
            </w:r>
          </w:p>
        </w:tc>
        <w:tc>
          <w:tcPr/>
          <w:p>
            <w:pPr>
              <w:pStyle w:val="Compact"/>
            </w:pPr>
            <w:r>
              <w:t xml:space="preserve">Windows/macOS/mobile patch delivery —</w:t>
            </w:r>
            <w:r>
              <w:t xml:space="preserve"> </w:t>
            </w:r>
            <w:hyperlink r:id="rId32">
              <w:r>
                <w:rPr>
                  <w:rStyle w:val="Hyperlink"/>
                </w:rPr>
                <w:t xml:space="preserve">https://learn.microsoft.com/mem/intune/</w:t>
              </w:r>
            </w:hyperlink>
          </w:p>
        </w:tc>
      </w:tr>
      <w:tr>
        <w:tc>
          <w:tcPr/>
          <w:p>
            <w:pPr>
              <w:pStyle w:val="Compact"/>
            </w:pPr>
            <w:r>
              <w:t xml:space="preserve">AWS Systems Manager Patch Manager</w:t>
            </w:r>
          </w:p>
        </w:tc>
        <w:tc>
          <w:tcPr/>
          <w:p>
            <w:pPr>
              <w:pStyle w:val="Compact"/>
            </w:pPr>
            <w:r>
              <w:t xml:space="preserve">Windows/Linux patch orchestration —</w:t>
            </w:r>
            <w:r>
              <w:t xml:space="preserve"> </w:t>
            </w:r>
            <w:hyperlink r:id="rId33">
              <w:r>
                <w:rPr>
                  <w:rStyle w:val="Hyperlink"/>
                </w:rPr>
                <w:t xml:space="preserve">https://docs.aws.amazon.com/systems-manager/latest/userguide/systems-manager-patch.html</w:t>
              </w:r>
            </w:hyperlink>
          </w:p>
        </w:tc>
      </w:tr>
      <w:tr>
        <w:tc>
          <w:tcPr/>
          <w:p>
            <w:pPr>
              <w:pStyle w:val="Compact"/>
            </w:pPr>
            <w:r>
              <w:t xml:space="preserve">Amazon Inspector</w:t>
            </w:r>
          </w:p>
        </w:tc>
        <w:tc>
          <w:tcPr/>
          <w:p>
            <w:pPr>
              <w:pStyle w:val="Compact"/>
            </w:pPr>
            <w:r>
              <w:t xml:space="preserve">Vulnerability assessment (AWS handoff) —</w:t>
            </w:r>
            <w:r>
              <w:t xml:space="preserve"> </w:t>
            </w:r>
            <w:hyperlink r:id="rId34">
              <w:r>
                <w:rPr>
                  <w:rStyle w:val="Hyperlink"/>
                </w:rPr>
                <w:t xml:space="preserve">https://docs.aws.amazon.com/inspector/latest/user/what-is-inspector.html</w:t>
              </w:r>
            </w:hyperlink>
          </w:p>
        </w:tc>
      </w:tr>
      <w:tr>
        <w:tc>
          <w:tcPr/>
          <w:p>
            <w:pPr>
              <w:pStyle w:val="Compact"/>
            </w:pPr>
            <w:r>
              <w:t xml:space="preserve">Oracle OS Management Hub</w:t>
            </w:r>
          </w:p>
        </w:tc>
        <w:tc>
          <w:tcPr/>
          <w:p>
            <w:pPr>
              <w:pStyle w:val="Compact"/>
            </w:pPr>
            <w:r>
              <w:t xml:space="preserve">OCI Linux/Windows management —</w:t>
            </w:r>
            <w:r>
              <w:t xml:space="preserve"> </w:t>
            </w:r>
            <w:hyperlink r:id="rId35">
              <w:r>
                <w:rPr>
                  <w:rStyle w:val="Hyperlink"/>
                </w:rPr>
                <w:t xml:space="preserve">https://docs.oracle.com/en-us/iaas/osmh/doc/home.htm</w:t>
              </w:r>
            </w:hyperlink>
          </w:p>
        </w:tc>
      </w:tr>
      <w:tr>
        <w:tc>
          <w:tcPr/>
          <w:p>
            <w:pPr>
              <w:pStyle w:val="Compact"/>
            </w:pPr>
            <w:r>
              <w:t xml:space="preserve">Oracle Ksplice</w:t>
            </w:r>
          </w:p>
        </w:tc>
        <w:tc>
          <w:tcPr/>
          <w:p>
            <w:pPr>
              <w:pStyle w:val="Compact"/>
            </w:pPr>
            <w:r>
              <w:t xml:space="preserve">Zero-downtime kernel patching —</w:t>
            </w:r>
            <w:r>
              <w:t xml:space="preserve"> </w:t>
            </w:r>
            <w:hyperlink r:id="rId36">
              <w:r>
                <w:rPr>
                  <w:rStyle w:val="Hyperlink"/>
                </w:rPr>
                <w:t xml:space="preserve">https://docs.oracle.com/en-us/iaas/oracle-linux/ksplice/index.htm</w:t>
              </w:r>
            </w:hyperlink>
          </w:p>
        </w:tc>
      </w:tr>
      <w:tr>
        <w:tc>
          <w:tcPr/>
          <w:p>
            <w:pPr>
              <w:pStyle w:val="Compact"/>
            </w:pPr>
            <w:r>
              <w:t xml:space="preserve">VMware vSphere Lifecycle Manager</w:t>
            </w:r>
          </w:p>
        </w:tc>
        <w:tc>
          <w:tcPr/>
          <w:p>
            <w:pPr>
              <w:pStyle w:val="Compact"/>
            </w:pPr>
            <w:r>
              <w:t xml:space="preserve">ESXi + firmware lifecycle —</w:t>
            </w:r>
            <w:r>
              <w:t xml:space="preserve"> </w:t>
            </w:r>
            <w:hyperlink r:id="rId37">
              <w:r>
                <w:rPr>
                  <w:rStyle w:val="Hyperlink"/>
                </w:rPr>
                <w:t xml:space="preserve">https://docs.vmware.com/en/VMware-vSphere/</w:t>
              </w:r>
            </w:hyperlink>
          </w:p>
        </w:tc>
      </w:tr>
      <w:tr>
        <w:tc>
          <w:tcPr/>
          <w:p>
            <w:pPr>
              <w:pStyle w:val="Compact"/>
            </w:pPr>
            <w:r>
              <w:t xml:space="preserve">VMware Workspace ONE UEM</w:t>
            </w:r>
          </w:p>
        </w:tc>
        <w:tc>
          <w:tcPr/>
          <w:p>
            <w:pPr>
              <w:pStyle w:val="Compact"/>
            </w:pPr>
            <w:r>
              <w:t xml:space="preserve">Endpoint OS patch management —</w:t>
            </w:r>
            <w:r>
              <w:t xml:space="preserve"> </w:t>
            </w:r>
            <w:hyperlink r:id="rId38">
              <w:r>
                <w:rPr>
                  <w:rStyle w:val="Hyperlink"/>
                </w:rPr>
                <w:t xml:space="preserve">https://docs.omnissa.com/</w:t>
              </w:r>
            </w:hyperlink>
          </w:p>
        </w:tc>
      </w:tr>
      <w:tr>
        <w:tc>
          <w:tcPr/>
          <w:p>
            <w:pPr>
              <w:pStyle w:val="Compact"/>
            </w:pPr>
            <w:r>
              <w:t xml:space="preserve">Red Hat Satellite</w:t>
            </w:r>
          </w:p>
        </w:tc>
        <w:tc>
          <w:tcPr/>
          <w:p>
            <w:pPr>
              <w:pStyle w:val="Compact"/>
            </w:pPr>
            <w:r>
              <w:t xml:space="preserve">Content and patch management —</w:t>
            </w:r>
            <w:r>
              <w:t xml:space="preserve"> </w:t>
            </w:r>
            <w:hyperlink r:id="rId39">
              <w:r>
                <w:rPr>
                  <w:rStyle w:val="Hyperlink"/>
                </w:rPr>
                <w:t xml:space="preserve">https://docs.redhat.com/en/documentation/red_hat_satellite</w:t>
              </w:r>
            </w:hyperlink>
          </w:p>
        </w:tc>
      </w:tr>
      <w:tr>
        <w:tc>
          <w:tcPr/>
          <w:p>
            <w:pPr>
              <w:pStyle w:val="Compact"/>
            </w:pPr>
            <w:r>
              <w:t xml:space="preserve">Red Hat Ansible Automation Platform</w:t>
            </w:r>
          </w:p>
        </w:tc>
        <w:tc>
          <w:tcPr/>
          <w:p>
            <w:pPr>
              <w:pStyle w:val="Compact"/>
            </w:pPr>
            <w:r>
              <w:t xml:space="preserve">Configuration/remediation actuation —</w:t>
            </w:r>
            <w:r>
              <w:t xml:space="preserve"> </w:t>
            </w:r>
            <w:hyperlink r:id="rId40">
              <w:r>
                <w:rPr>
                  <w:rStyle w:val="Hyperlink"/>
                </w:rPr>
                <w:t xml:space="preserve">https://docs.redhat.com/en/documentation/red_hat_ansible_automation_platform</w:t>
              </w:r>
            </w:hyperlink>
          </w:p>
        </w:tc>
      </w:tr>
    </w:tbl>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4" Target="https://docs.aws.amazon.com/inspector/latest/user/what-is-inspector.html" TargetMode="External" /><Relationship Type="http://schemas.openxmlformats.org/officeDocument/2006/relationships/hyperlink" Id="rId33" Target="https://docs.aws.amazon.com/systems-manager/latest/userguide/systems-manager-patch.html" TargetMode="External" /><Relationship Type="http://schemas.openxmlformats.org/officeDocument/2006/relationships/hyperlink" Id="rId38" Target="https://docs.omnissa.com/" TargetMode="External" /><Relationship Type="http://schemas.openxmlformats.org/officeDocument/2006/relationships/hyperlink" Id="rId36" Target="https://docs.oracle.com/en-us/iaas/oracle-linux/ksplice/index.htm" TargetMode="External" /><Relationship Type="http://schemas.openxmlformats.org/officeDocument/2006/relationships/hyperlink" Id="rId35" Target="https://docs.oracle.com/en-us/iaas/osmh/doc/home.htm" TargetMode="External" /><Relationship Type="http://schemas.openxmlformats.org/officeDocument/2006/relationships/hyperlink" Id="rId40" Target="https://docs.redhat.com/en/documentation/red_hat_ansible_automation_platform" TargetMode="External" /><Relationship Type="http://schemas.openxmlformats.org/officeDocument/2006/relationships/hyperlink" Id="rId39" Target="https://docs.redhat.com/en/documentation/red_hat_satellite" TargetMode="External" /><Relationship Type="http://schemas.openxmlformats.org/officeDocument/2006/relationships/hyperlink" Id="rId37" Target="https://docs.vmware.com/en/VMware-vSphere/" TargetMode="External" /><Relationship Type="http://schemas.openxmlformats.org/officeDocument/2006/relationships/hyperlink" Id="rId31" Target="https://learn.microsoft.com/azure/update-manager/" TargetMode="External" /><Relationship Type="http://schemas.openxmlformats.org/officeDocument/2006/relationships/hyperlink" Id="rId32" Target="https://learn.microsoft.com/mem/intune/" TargetMode="External" /><Relationship Type="http://schemas.openxmlformats.org/officeDocument/2006/relationships/hyperlink" Id="rId30" Target="https://marketplace.fedramp.gov/" TargetMode="External" /><Relationship Type="http://schemas.openxmlformats.org/officeDocument/2006/relationships/hyperlink" Id="rId29" Target="https://www.cisa.gov/cdm" TargetMode="External" /><Relationship Type="http://schemas.openxmlformats.org/officeDocument/2006/relationships/hyperlink" Id="rId27" Target="https://www.cisa.gov/known-exploited-vulnerabilities-catalog" TargetMode="External" /><Relationship Type="http://schemas.openxmlformats.org/officeDocument/2006/relationships/hyperlink" Id="rId28" Target="https://www.cisa.gov/news-events/directives/bod-23-01-improving-asset-visibility-and-vulnerability-detection-federal-networks" TargetMode="External" /></Relationships>
</file>

<file path=word/_rels/footnotes.xml.rels><?xml version="1.0" encoding="UTF-8"?><Relationships xmlns="http://schemas.openxmlformats.org/package/2006/relationships"><Relationship Type="http://schemas.openxmlformats.org/officeDocument/2006/relationships/hyperlink" Id="rId34" Target="https://docs.aws.amazon.com/inspector/latest/user/what-is-inspector.html" TargetMode="External" /><Relationship Type="http://schemas.openxmlformats.org/officeDocument/2006/relationships/hyperlink" Id="rId33" Target="https://docs.aws.amazon.com/systems-manager/latest/userguide/systems-manager-patch.html" TargetMode="External" /><Relationship Type="http://schemas.openxmlformats.org/officeDocument/2006/relationships/hyperlink" Id="rId38" Target="https://docs.omnissa.com/" TargetMode="External" /><Relationship Type="http://schemas.openxmlformats.org/officeDocument/2006/relationships/hyperlink" Id="rId36" Target="https://docs.oracle.com/en-us/iaas/oracle-linux/ksplice/index.htm" TargetMode="External" /><Relationship Type="http://schemas.openxmlformats.org/officeDocument/2006/relationships/hyperlink" Id="rId35" Target="https://docs.oracle.com/en-us/iaas/osmh/doc/home.htm" TargetMode="External" /><Relationship Type="http://schemas.openxmlformats.org/officeDocument/2006/relationships/hyperlink" Id="rId40" Target="https://docs.redhat.com/en/documentation/red_hat_ansible_automation_platform" TargetMode="External" /><Relationship Type="http://schemas.openxmlformats.org/officeDocument/2006/relationships/hyperlink" Id="rId39" Target="https://docs.redhat.com/en/documentation/red_hat_satellite" TargetMode="External" /><Relationship Type="http://schemas.openxmlformats.org/officeDocument/2006/relationships/hyperlink" Id="rId37" Target="https://docs.vmware.com/en/VMware-vSphere/" TargetMode="External" /><Relationship Type="http://schemas.openxmlformats.org/officeDocument/2006/relationships/hyperlink" Id="rId31" Target="https://learn.microsoft.com/azure/update-manager/" TargetMode="External" /><Relationship Type="http://schemas.openxmlformats.org/officeDocument/2006/relationships/hyperlink" Id="rId32" Target="https://learn.microsoft.com/mem/intune/" TargetMode="External" /><Relationship Type="http://schemas.openxmlformats.org/officeDocument/2006/relationships/hyperlink" Id="rId30" Target="https://marketplace.fedramp.gov/" TargetMode="External" /><Relationship Type="http://schemas.openxmlformats.org/officeDocument/2006/relationships/hyperlink" Id="rId29" Target="https://www.cisa.gov/cdm" TargetMode="External" /><Relationship Type="http://schemas.openxmlformats.org/officeDocument/2006/relationships/hyperlink" Id="rId27" Target="https://www.cisa.gov/known-exploited-vulnerabilities-catalog" TargetMode="External" /><Relationship Type="http://schemas.openxmlformats.org/officeDocument/2006/relationships/hyperlink" Id="rId28" Target="https://www.cisa.gov/news-events/directives/bod-23-01-improving-asset-visibility-and-vulnerability-detection-federal-network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03 — Federal Compliance — Patch &amp; Systems Management: The SI-2 / CM Closure Plane</dc:title>
  <dc:creator>Federal Cloud Services</dc:creator>
  <cp:keywords/>
  <dcterms:created xsi:type="dcterms:W3CDTF">2026-10-19T10:09:49Z</dcterms:created>
  <dcterms:modified xsi:type="dcterms:W3CDTF">2026-10-19T10:09:49Z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2026-07-19 21:40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Flaw Remediation and Configuration State Across Microsoft, AWS, Oracle, VMware, and Red Hat — One Contract, Many Stacks</vt:lpwstr>
  </property>
  <property fmtid="{D5CDD505-2E9C-101B-9397-08002B2CF9AE}" pid="16" name="toc-title">
    <vt:lpwstr>Table of contents</vt:lpwstr>
  </property>
</Properties>
</file>