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III Book 04 — Federal Compliance — Cloud-Native Security Posture &amp; Containers</w:t>
      </w:r>
    </w:p>
    <w:p>
      <w:pPr>
        <w:pStyle w:val="Subtitle"/>
      </w:pPr>
      <w:r>
        <w:t xml:space="preserve">CSPM, CNAPP, and Kubernetes — Closing the Misconfiguration, Exposure, and Runtime Gaps Host Scanning Misses</w:t>
      </w:r>
    </w:p>
    <w:p>
      <w:pPr>
        <w:pStyle w:val="Author"/>
      </w:pPr>
      <w:r>
        <w:t xml:space="preserve">Federal Cloud Services</w:t>
      </w:r>
    </w:p>
    <w:p>
      <w:pPr>
        <w:pStyle w:val="Date"/>
      </w:pPr>
      <w:r>
        <w:t xml:space="preserve">2026-07-09 12:41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2026-07-09 08:41 ET</w:t>
      </w:r>
    </w:p>
    <w:bookmarkEnd w:id="9"/>
    <w:p>
      <w:pPr>
        <w:pStyle w:val="BodyText"/>
      </w:pPr>
      <w:r>
        <w:rPr>
          <w:b/>
          <w:bCs/>
        </w:rPr>
        <w:t xml:space="preserve">Provisional position.</w:t>
      </w:r>
      <w:r>
        <w:t xml:space="preserve"> </w:t>
      </w:r>
      <w:r>
        <w:t xml:space="preserve">This book was drafted at temporary series slot 22; its</w:t>
      </w:r>
      <w:r>
        <w:t xml:space="preserve"> </w:t>
      </w:r>
      <w:r>
        <w:t xml:space="preserve">intended home is</w:t>
      </w:r>
      <w:r>
        <w:t xml:space="preserve"> </w:t>
      </w:r>
      <w:r>
        <w:rPr>
          <w:b/>
          <w:bCs/>
        </w:rPr>
        <w:t xml:space="preserve">Volume III (Security Operations)</w:t>
      </w:r>
      <w:r>
        <w:t xml:space="preserve">, alongside the Vulnerability</w:t>
      </w:r>
      <w:r>
        <w:t xml:space="preserve"> </w:t>
      </w:r>
      <w:r>
        <w:t xml:space="preserve">Management and Patch &amp; Systems Management books. Cross-references name other</w:t>
      </w:r>
      <w:r>
        <w:t xml:space="preserve"> </w:t>
      </w:r>
      <w:r>
        <w:t xml:space="preserve">books by</w:t>
      </w:r>
      <w:r>
        <w:t xml:space="preserve"> </w:t>
      </w:r>
      <w:r>
        <w:rPr>
          <w:b/>
          <w:bCs/>
        </w:rPr>
        <w:t xml:space="preserve">title and role</w:t>
      </w:r>
      <w:r>
        <w:t xml:space="preserve">, not number.</w:t>
      </w:r>
    </w:p>
    <w:p>
      <w:pPr>
        <w:pStyle w:val="BodyText"/>
      </w:pPr>
      <w:r>
        <w:rPr>
          <w:b/>
          <w:bCs/>
        </w:rPr>
        <w:t xml:space="preserve">Series Context</w:t>
      </w:r>
      <w:r>
        <w:t xml:space="preserve"> </w:t>
      </w:r>
      <w:r>
        <w:t xml:space="preserve">— The Vulnerability Management book finds missing patches on</w:t>
      </w:r>
      <w:r>
        <w:t xml:space="preserve"> </w:t>
      </w:r>
      <w:r>
        <w:t xml:space="preserve">hosts; the Patch &amp; Systems Management book applies them (SI-2) across platforms.</w:t>
      </w:r>
      <w:r>
        <w:t xml:space="preserve"> </w:t>
      </w:r>
      <w:r>
        <w:t xml:space="preserve">Neither sees the risks that live</w:t>
      </w:r>
      <w:r>
        <w:t xml:space="preserve"> </w:t>
      </w:r>
      <w:r>
        <w:rPr>
          <w:i/>
          <w:iCs/>
        </w:rPr>
        <w:t xml:space="preserve">in the cloud control plane and the container</w:t>
      </w:r>
      <w:r>
        <w:rPr>
          <w:i/>
          <w:iCs/>
        </w:rPr>
        <w:t xml:space="preserve"> </w:t>
      </w:r>
      <w:r>
        <w:rPr>
          <w:i/>
          <w:iCs/>
        </w:rPr>
        <w:t xml:space="preserve">layer</w:t>
      </w:r>
      <w:r>
        <w:t xml:space="preserve">: a world-readable storage bucket, an over-permissive IAM role, an</w:t>
      </w:r>
      <w:r>
        <w:t xml:space="preserve"> </w:t>
      </w:r>
      <w:r>
        <w:t xml:space="preserve">internet-exposed workload, an unscanned container image, a privileged pod. This</w:t>
      </w:r>
      <w:r>
        <w:t xml:space="preserve"> </w:t>
      </w:r>
      <w:r>
        <w:t xml:space="preserve">book closes those —</w:t>
      </w:r>
      <w:r>
        <w:t xml:space="preserve"> </w:t>
      </w:r>
      <w:r>
        <w:rPr>
          <w:b/>
          <w:bCs/>
        </w:rPr>
        <w:t xml:space="preserve">cloud security posture management (CSPM)</w:t>
      </w:r>
      <w:r>
        <w:t xml:space="preserve">,</w:t>
      </w:r>
      <w:r>
        <w:t xml:space="preserve"> </w:t>
      </w:r>
      <w:r>
        <w:rPr>
          <w:b/>
          <w:bCs/>
        </w:rPr>
        <w:t xml:space="preserve">cloud-native</w:t>
      </w:r>
      <w:r>
        <w:rPr>
          <w:b/>
          <w:bCs/>
        </w:rPr>
        <w:t xml:space="preserve"> </w:t>
      </w:r>
      <w:r>
        <w:rPr>
          <w:b/>
          <w:bCs/>
        </w:rPr>
        <w:t xml:space="preserve">application protection (CNAPP)</w:t>
      </w:r>
      <w:r>
        <w:t xml:space="preserve">, and</w:t>
      </w:r>
      <w:r>
        <w:t xml:space="preserve"> </w:t>
      </w:r>
      <w:r>
        <w:rPr>
          <w:b/>
          <w:bCs/>
        </w:rPr>
        <w:t xml:space="preserve">Kubernetes security</w:t>
      </w:r>
      <w:r>
        <w:t xml:space="preserve"> </w:t>
      </w:r>
      <w:r>
        <w:t xml:space="preserve">— and routes their</w:t>
      </w:r>
      <w:r>
        <w:t xml:space="preserve"> </w:t>
      </w:r>
      <w:r>
        <w:t xml:space="preserve">findings into the evidence fabric like every other source.</w:t>
      </w:r>
    </w:p>
    <w:bookmarkStart w:id="10" w:name="what-this-document-addresses"/>
    <w:p>
      <w:pPr>
        <w:pStyle w:val="Heading1"/>
      </w:pPr>
      <w:r>
        <w:t xml:space="preserve">1. What This Document Addresses</w:t>
      </w:r>
    </w:p>
    <w:p>
      <w:pPr>
        <w:pStyle w:val="FirstParagraph"/>
      </w:pPr>
      <w:r>
        <w:t xml:space="preserve">A host vulnerability scanner answers</w:t>
      </w:r>
      <w:r>
        <w:t xml:space="preserve"> </w:t>
      </w:r>
      <w:r>
        <w:t xml:space="preserve">“what CVEs are on this VM.”</w:t>
      </w:r>
      <w:r>
        <w:t xml:space="preserve"> </w:t>
      </w:r>
      <w:r>
        <w:t xml:space="preserve">It does not</w:t>
      </w:r>
      <w:r>
        <w:t xml:space="preserve"> </w:t>
      </w:r>
      <w:r>
        <w:t xml:space="preserve">answer</w:t>
      </w:r>
      <w:r>
        <w:t xml:space="preserve"> </w:t>
      </w:r>
      <w:r>
        <w:t xml:space="preserve">“is this storage bucket public,”</w:t>
      </w:r>
      <w:r>
        <w:t xml:space="preserve"> </w:t>
      </w:r>
      <w:r>
        <w:t xml:space="preserve">“can this workload reach the internet,”</w:t>
      </w:r>
      <w:r>
        <w:t xml:space="preserve"> </w:t>
      </w:r>
      <w:r>
        <w:t xml:space="preserve">“does this IAM role grant far more than it uses,”</w:t>
      </w:r>
      <w:r>
        <w:t xml:space="preserve"> </w:t>
      </w:r>
      <w:r>
        <w:t xml:space="preserve">or</w:t>
      </w:r>
      <w:r>
        <w:t xml:space="preserve"> </w:t>
      </w:r>
      <w:r>
        <w:t xml:space="preserve">“was this container image</w:t>
      </w:r>
      <w:r>
        <w:t xml:space="preserve"> </w:t>
      </w:r>
      <w:r>
        <w:t xml:space="preserve">scanned before it ran.”</w:t>
      </w:r>
      <w:r>
        <w:t xml:space="preserve"> </w:t>
      </w:r>
      <w:r>
        <w:t xml:space="preserve">Those are</w:t>
      </w:r>
      <w:r>
        <w:t xml:space="preserve"> </w:t>
      </w:r>
      <w:r>
        <w:rPr>
          <w:b/>
          <w:bCs/>
        </w:rPr>
        <w:t xml:space="preserve">cloud-control-plane and container-layer</w:t>
      </w:r>
      <w:r>
        <w:t xml:space="preserve"> </w:t>
      </w:r>
      <w:r>
        <w:t xml:space="preserve">questions, and on a multi-cloud estate (AWS GovCloud, Azure, GCP, OCI, VMware,</w:t>
      </w:r>
      <w:r>
        <w:t xml:space="preserve"> </w:t>
      </w:r>
      <w:r>
        <w:t xml:space="preserve">plus Kubernetes — AKS/EKS/GKE/OKE/OpenShift) they are where a dominant class of</w:t>
      </w:r>
      <w:r>
        <w:t xml:space="preserve"> </w:t>
      </w:r>
      <w:r>
        <w:t xml:space="preserve">cloud incidents begins: misconfiguration, excessive entitlement, and exposure —</w:t>
      </w:r>
      <w:r>
        <w:t xml:space="preserve"> </w:t>
      </w:r>
      <w:r>
        <w:t xml:space="preserve">not an unpatched kernel.</w:t>
      </w:r>
    </w:p>
    <w:p>
      <w:pPr>
        <w:pStyle w:val="BodyText"/>
      </w:pPr>
      <w:r>
        <w:t xml:space="preserve">This book closes that surface with three overlapping disciplines:</w:t>
      </w:r>
    </w:p>
    <w:p>
      <w:pPr>
        <w:pStyle w:val="Compact"/>
        <w:numPr>
          <w:ilvl w:val="0"/>
          <w:numId w:val="1001"/>
        </w:numPr>
      </w:pPr>
      <w:r>
        <w:rPr>
          <w:b/>
          <w:bCs/>
        </w:rPr>
        <w:t xml:space="preserve">CSPM</w:t>
      </w:r>
      <w:r>
        <w:t xml:space="preserve"> </w:t>
      </w:r>
      <w:r>
        <w:t xml:space="preserve">— continuous detection of cloud resource</w:t>
      </w:r>
      <w:r>
        <w:t xml:space="preserve"> </w:t>
      </w:r>
      <w:r>
        <w:rPr>
          <w:b/>
          <w:bCs/>
        </w:rPr>
        <w:t xml:space="preserve">misconfiguration</w:t>
      </w:r>
      <w:r>
        <w:t xml:space="preserve"> </w:t>
      </w:r>
      <w:r>
        <w:t xml:space="preserve">against</w:t>
      </w:r>
      <w:r>
        <w:t xml:space="preserve"> </w:t>
      </w:r>
      <w:r>
        <w:t xml:space="preserve">a secure baseline, across every CSP (CM-6).</w:t>
      </w:r>
    </w:p>
    <w:p>
      <w:pPr>
        <w:pStyle w:val="Compact"/>
        <w:numPr>
          <w:ilvl w:val="0"/>
          <w:numId w:val="1001"/>
        </w:numPr>
      </w:pPr>
      <w:r>
        <w:rPr>
          <w:b/>
          <w:bCs/>
        </w:rPr>
        <w:t xml:space="preserve">CNAPP</w:t>
      </w:r>
      <w:r>
        <w:t xml:space="preserve"> </w:t>
      </w:r>
      <w:r>
        <w:t xml:space="preserve">— a unified platform spanning</w:t>
      </w:r>
      <w:r>
        <w:t xml:space="preserve"> </w:t>
      </w:r>
      <w:r>
        <w:rPr>
          <w:b/>
          <w:bCs/>
        </w:rPr>
        <w:t xml:space="preserve">workload vulnerability (CWPP)</w:t>
      </w:r>
      <w:r>
        <w:t xml:space="preserve">,</w:t>
      </w:r>
      <w:r>
        <w:t xml:space="preserve"> </w:t>
      </w:r>
      <w:r>
        <w:rPr>
          <w:b/>
          <w:bCs/>
        </w:rPr>
        <w:t xml:space="preserve">network exposure / attack-path</w:t>
      </w:r>
      <w:r>
        <w:t xml:space="preserve"> </w:t>
      </w:r>
      <w:r>
        <w:t xml:space="preserve">analysis,</w:t>
      </w:r>
      <w:r>
        <w:t xml:space="preserve"> </w:t>
      </w:r>
      <w:r>
        <w:rPr>
          <w:b/>
          <w:bCs/>
        </w:rPr>
        <w:t xml:space="preserve">entitlements (CIEM)</w:t>
      </w:r>
      <w:r>
        <w:t xml:space="preserve">, and</w:t>
      </w:r>
      <w:r>
        <w:t xml:space="preserve"> </w:t>
      </w:r>
      <w:r>
        <w:rPr>
          <w:b/>
          <w:bCs/>
        </w:rPr>
        <w:t xml:space="preserve">shift-left IaC/code</w:t>
      </w:r>
      <w:r>
        <w:t xml:space="preserve"> </w:t>
      </w:r>
      <w:r>
        <w:t xml:space="preserve">scanning.</w:t>
      </w:r>
    </w:p>
    <w:p>
      <w:pPr>
        <w:pStyle w:val="Compact"/>
        <w:numPr>
          <w:ilvl w:val="0"/>
          <w:numId w:val="1001"/>
        </w:numPr>
      </w:pPr>
      <w:r>
        <w:rPr>
          <w:b/>
          <w:bCs/>
        </w:rPr>
        <w:t xml:space="preserve">Kubernetes / container security</w:t>
      </w:r>
      <w:r>
        <w:t xml:space="preserve"> </w:t>
      </w:r>
      <w:r>
        <w:t xml:space="preserve">— image scanning,</w:t>
      </w:r>
      <w:r>
        <w:t xml:space="preserve"> </w:t>
      </w:r>
      <w:r>
        <w:rPr>
          <w:b/>
          <w:bCs/>
        </w:rPr>
        <w:t xml:space="preserve">admission control</w:t>
      </w:r>
      <w:r>
        <w:t xml:space="preserve">,</w:t>
      </w:r>
      <w:r>
        <w:t xml:space="preserve"> </w:t>
      </w:r>
      <w:r>
        <w:t xml:space="preserve">hardening (CM-7), and</w:t>
      </w:r>
      <w:r>
        <w:t xml:space="preserve"> </w:t>
      </w:r>
      <w:r>
        <w:rPr>
          <w:b/>
          <w:bCs/>
        </w:rPr>
        <w:t xml:space="preserve">runtime threat detection</w:t>
      </w:r>
      <w:r>
        <w:t xml:space="preserve"> </w:t>
      </w:r>
      <w:r>
        <w:t xml:space="preserve">(SI-3).</w:t>
      </w:r>
    </w:p>
    <w:bookmarkEnd w:id="10"/>
    <w:bookmarkStart w:id="12" w:name="X8e48236127be9f5a164ec6db61d0b49d58221e3"/>
    <w:p>
      <w:pPr>
        <w:pStyle w:val="Heading1"/>
      </w:pPr>
      <w:r>
        <w:t xml:space="preserve">2. CSPM — Misconfiguration Is the Cloud’s Dominant Risk (CM-6)</w:t>
      </w:r>
    </w:p>
    <w:p>
      <w:pPr>
        <w:pStyle w:val="FirstParagraph"/>
      </w:pPr>
      <w:r>
        <w:t xml:space="preserve">Misconfiguration is a configuration-settings control (CM-6) applied to</w:t>
      </w:r>
      <w:r>
        <w:t xml:space="preserve"> </w:t>
      </w:r>
      <w:r>
        <w:rPr>
          <w:i/>
          <w:iCs/>
        </w:rPr>
        <w:t xml:space="preserve">cloud</w:t>
      </w:r>
      <w:r>
        <w:rPr>
          <w:i/>
          <w:iCs/>
        </w:rPr>
        <w:t xml:space="preserve"> </w:t>
      </w:r>
      <w:r>
        <w:rPr>
          <w:i/>
          <w:iCs/>
        </w:rPr>
        <w:t xml:space="preserve">resources</w:t>
      </w:r>
      <w:r>
        <w:t xml:space="preserve"> </w:t>
      </w:r>
      <w:r>
        <w:t xml:space="preserve">rather than OS baselines: storage exposure, network security-group</w:t>
      </w:r>
      <w:r>
        <w:t xml:space="preserve"> </w:t>
      </w:r>
      <w:r>
        <w:t xml:space="preserve">rules, key/secret handling, logging gaps, IAM policy drift. CSPM detects it</w:t>
      </w:r>
      <w:r>
        <w:t xml:space="preserve"> </w:t>
      </w:r>
      <w:r>
        <w:t xml:space="preserve">continuously across CSPs and emits a</w:t>
      </w:r>
      <w:r>
        <w:t xml:space="preserve"> </w:t>
      </w:r>
      <w:r>
        <w:rPr>
          <w:rStyle w:val="VerbatimChar"/>
        </w:rPr>
        <w:t xml:space="preserve">baseline_conformance</w:t>
      </w:r>
      <w:r>
        <w:t xml:space="preserve"> </w:t>
      </w:r>
      <w:r>
        <w:t xml:space="preserve">verdict into the</w:t>
      </w:r>
      <w:r>
        <w:t xml:space="preserve"> </w:t>
      </w:r>
      <w:r>
        <w:t xml:space="preserve">evidence fabric’s contract. This is the cloud-plane complement to the Patch &amp;</w:t>
      </w:r>
      <w:r>
        <w:t xml:space="preserve"> </w:t>
      </w:r>
      <w:r>
        <w:t xml:space="preserve">Systems Management book’s OS-level CM-6 — same control, different layer; both</w:t>
      </w:r>
      <w:r>
        <w:t xml:space="preserve"> </w:t>
      </w:r>
      <w:r>
        <w:t xml:space="preserve">contribute.</w:t>
      </w:r>
    </w:p>
    <w:bookmarkStart w:id="11" w:name="Xa8b892403ef804d53f1d82e7dad01bd9a1e8546"/>
    <w:p>
      <w:pPr>
        <w:pStyle w:val="Heading2"/>
      </w:pPr>
      <w:r>
        <w:t xml:space="preserve">2.1 The Moderate decision — owned-tool priority across the multi-cloud estate</w:t>
      </w:r>
    </w:p>
    <w:p>
      <w:pPr>
        <w:pStyle w:val="FirstParagraph"/>
      </w:pPr>
      <w:r>
        <w:t xml:space="preserve">Under the Microsoft-preference rule (a Microsoft product is the default</w:t>
      </w:r>
      <w:r>
        <w:t xml:space="preserve"> </w:t>
      </w:r>
      <w:r>
        <w:rPr>
          <w:i/>
          <w:iCs/>
        </w:rPr>
        <w:t xml:space="preserve">when it</w:t>
      </w:r>
      <w:r>
        <w:rPr>
          <w:i/>
          <w:iCs/>
        </w:rPr>
        <w:t xml:space="preserve"> </w:t>
      </w:r>
      <w:r>
        <w:rPr>
          <w:i/>
          <w:iCs/>
        </w:rPr>
        <w:t xml:space="preserve">coordinates the multi-vendor surface at FedRAMP Moderate</w:t>
      </w:r>
      <w:r>
        <w:t xml:space="preserve"> </w:t>
      </w:r>
      <w:r>
        <w:t xml:space="preserve">— earned, not</w:t>
      </w:r>
      <w:r>
        <w:t xml:space="preserve"> </w:t>
      </w:r>
      <w:r>
        <w:t xml:space="preserve">automatic),</w:t>
      </w:r>
      <w:r>
        <w:t xml:space="preserve"> </w:t>
      </w:r>
      <w:r>
        <w:rPr>
          <w:b/>
          <w:bCs/>
        </w:rPr>
        <w:t xml:space="preserve">Microsoft Defender for Cloud</w:t>
      </w:r>
      <w:r>
        <w:t xml:space="preserve"> </w:t>
      </w:r>
      <w:r>
        <w:t xml:space="preserve">remains the coordinating default:</w:t>
      </w:r>
      <w:r>
        <w:t xml:space="preserve"> </w:t>
      </w:r>
      <w:r>
        <w:t xml:space="preserve">it does multi-cloud CSPM/CWPP ingestion across</w:t>
      </w:r>
      <w:r>
        <w:t xml:space="preserve"> </w:t>
      </w:r>
      <w:r>
        <w:rPr>
          <w:b/>
          <w:bCs/>
        </w:rPr>
        <w:t xml:space="preserve">Azure, AWS, and GCP</w:t>
      </w:r>
      <w:r>
        <w:t xml:space="preserve"> </w:t>
      </w:r>
      <w:r>
        <w:t xml:space="preserve">and is</w:t>
      </w:r>
      <w:r>
        <w:t xml:space="preserve"> </w:t>
      </w:r>
      <w:r>
        <w:t xml:space="preserve">available within GCC at</w:t>
      </w:r>
      <w:r>
        <w:t xml:space="preserve"> </w:t>
      </w:r>
      <w:r>
        <w:rPr>
          <w:b/>
          <w:bCs/>
        </w:rPr>
        <w:t xml:space="preserve">FedRAMP Moderate</w:t>
      </w:r>
      <w:r>
        <w:t xml:space="preserve"> </w:t>
      </w:r>
      <w:r>
        <w:t xml:space="preserve">— a clean fit for the Moderate-only</w:t>
      </w:r>
      <w:r>
        <w:t xml:space="preserve"> </w:t>
      </w:r>
      <w:r>
        <w:t xml:space="preserve">boundary. But where the agency already owns a platform-native mechanism, that</w:t>
      </w:r>
      <w:r>
        <w:t xml:space="preserve"> </w:t>
      </w:r>
      <w:r>
        <w:t xml:space="preserve">owned tool is primary for its own platform’s posture evidence, and Defender for</w:t>
      </w:r>
      <w:r>
        <w:t xml:space="preserve"> </w:t>
      </w:r>
      <w:r>
        <w:t xml:space="preserve">Cloud’s role there narrows to cross-account correlation rather than sole source:</w:t>
      </w:r>
    </w:p>
    <w:p>
      <w:pPr>
        <w:pStyle w:val="TableCaption"/>
      </w:pPr>
      <w:r>
        <w:t xml:space="preserve">Per-platform CSPM mechanism, ownership, and Moderate-boundary status</w:t>
      </w:r>
    </w:p>
    <w:tbl>
      <w:tblPr>
        <w:tblStyle w:val="Table"/>
        <w:tblW w:type="pct" w:w="5000"/>
        <w:tblLayout w:type="fixed"/>
        <w:tblLook w:firstRow="1" w:lastRow="0" w:firstColumn="0" w:lastColumn="0" w:noHBand="0" w:noVBand="0" w:val="0020"/>
        <w:tblCaption w:val="Per-platform CSPM mechanism, ownership, and Moderate-boundary status"/>
      </w:tblPr>
      <w:tblGrid>
        <w:gridCol w:w="1584"/>
        <w:gridCol w:w="1584"/>
        <w:gridCol w:w="1584"/>
        <w:gridCol w:w="1584"/>
        <w:gridCol w:w="1584"/>
      </w:tblGrid>
      <w:tr>
        <w:trPr>
          <w:tblHeader w:val="on"/>
        </w:trPr>
        <w:tc>
          <w:tcPr/>
          <w:p>
            <w:pPr>
              <w:pStyle w:val="Compact"/>
            </w:pPr>
            <w:r>
              <w:t xml:space="preserve">Platform</w:t>
            </w:r>
          </w:p>
        </w:tc>
        <w:tc>
          <w:tcPr/>
          <w:p>
            <w:pPr>
              <w:pStyle w:val="Compact"/>
            </w:pPr>
            <w:r>
              <w:t xml:space="preserve">Primary mechanism</w:t>
            </w:r>
          </w:p>
        </w:tc>
        <w:tc>
          <w:tcPr/>
          <w:p>
            <w:pPr>
              <w:pStyle w:val="Compact"/>
            </w:pPr>
            <w:r>
              <w:t xml:space="preserve">Owned today</w:t>
            </w:r>
          </w:p>
        </w:tc>
        <w:tc>
          <w:tcPr/>
          <w:p>
            <w:pPr>
              <w:pStyle w:val="Compact"/>
            </w:pPr>
            <w:r>
              <w:t xml:space="preserve">FedRAMP status</w:t>
            </w:r>
          </w:p>
        </w:tc>
        <w:tc>
          <w:tcPr/>
          <w:p>
            <w:pPr>
              <w:pStyle w:val="Compact"/>
            </w:pPr>
            <w:r>
              <w:t xml:space="preserve">Moderate-boundary treatment</w:t>
            </w:r>
          </w:p>
        </w:tc>
      </w:tr>
      <w:tr>
        <w:tc>
          <w:tcPr/>
          <w:p>
            <w:pPr>
              <w:pStyle w:val="Compact"/>
            </w:pPr>
            <w:r>
              <w:t xml:space="preserve">Azure</w:t>
            </w:r>
          </w:p>
        </w:tc>
        <w:tc>
          <w:tcPr/>
          <w:p>
            <w:pPr>
              <w:pStyle w:val="Compact"/>
            </w:pPr>
            <w:r>
              <w:t xml:space="preserve">Microsoft Defender for Cloud</w:t>
            </w:r>
          </w:p>
        </w:tc>
        <w:tc>
          <w:tcPr/>
          <w:p>
            <w:pPr>
              <w:pStyle w:val="Compact"/>
            </w:pPr>
            <w:r>
              <w:t xml:space="preserve">Yes</w:t>
            </w:r>
          </w:p>
        </w:tc>
        <w:tc>
          <w:tcPr/>
          <w:p>
            <w:pPr>
              <w:pStyle w:val="Compact"/>
            </w:pPr>
            <w:r>
              <w:t xml:space="preserve">FedRAMP Moderate (GCC)</w:t>
            </w:r>
          </w:p>
        </w:tc>
        <w:tc>
          <w:tcPr/>
          <w:p>
            <w:pPr>
              <w:pStyle w:val="Compact"/>
            </w:pPr>
            <w:r>
              <w:t xml:space="preserve">Native Moderate — coordinating default</w:t>
            </w:r>
          </w:p>
        </w:tc>
      </w:tr>
      <w:tr>
        <w:tc>
          <w:tcPr/>
          <w:p>
            <w:pPr>
              <w:pStyle w:val="Compact"/>
            </w:pPr>
            <w:r>
              <w:t xml:space="preserve">AWS</w:t>
            </w:r>
          </w:p>
        </w:tc>
        <w:tc>
          <w:tcPr/>
          <w:p>
            <w:pPr>
              <w:pStyle w:val="Compact"/>
            </w:pPr>
            <w:r>
              <w:t xml:space="preserve">AWS Config (conformance packs) + AWS Security Hub</w:t>
            </w:r>
          </w:p>
        </w:tc>
        <w:tc>
          <w:tcPr/>
          <w:p>
            <w:pPr>
              <w:pStyle w:val="Compact"/>
            </w:pPr>
            <w:r>
              <w:t xml:space="preserve">Yes</w:t>
            </w:r>
          </w:p>
        </w:tc>
        <w:tc>
          <w:tcPr/>
          <w:p>
            <w:pPr>
              <w:pStyle w:val="Compact"/>
            </w:pPr>
            <w:r>
              <w:t xml:space="preserve">FedRAMP-authorized, above Moderate (AWS GovCloud Class D)</w:t>
            </w:r>
          </w:p>
        </w:tc>
        <w:tc>
          <w:tcPr/>
          <w:p>
            <w:pPr>
              <w:pStyle w:val="Compact"/>
            </w:pPr>
            <w:r>
              <w:t xml:space="preserve">Exceeds Moderate, boundary treatment documented; owned, so primary for AWS rather than relying on Defender’s AWS ingestion</w:t>
            </w:r>
          </w:p>
        </w:tc>
      </w:tr>
      <w:tr>
        <w:tc>
          <w:tcPr/>
          <w:p>
            <w:pPr>
              <w:pStyle w:val="Compact"/>
            </w:pPr>
            <w:r>
              <w:t xml:space="preserve">GCP</w:t>
            </w:r>
          </w:p>
        </w:tc>
        <w:tc>
          <w:tcPr/>
          <w:p>
            <w:pPr>
              <w:pStyle w:val="Compact"/>
            </w:pPr>
            <w:r>
              <w:t xml:space="preserve">Google Assured Workloads (boundary/guardrail) + Security Command Center (posture)</w:t>
            </w:r>
          </w:p>
        </w:tc>
        <w:tc>
          <w:tcPr/>
          <w:p>
            <w:pPr>
              <w:pStyle w:val="Compact"/>
            </w:pPr>
            <w:r>
              <w:t xml:space="preserve">No</w:t>
            </w:r>
          </w:p>
        </w:tc>
        <w:tc>
          <w:tcPr/>
          <w:p>
            <w:pPr>
              <w:pStyle w:val="Compact"/>
            </w:pPr>
            <w:r>
              <w:t xml:space="preserve">Assured Workloads: native FedRAMP Moderate control package; Security Command Center: FedRAMP-authorized, above Moderate (Google Cloud’s High P-ATO)</w:t>
            </w:r>
          </w:p>
        </w:tc>
        <w:tc>
          <w:tcPr/>
          <w:p>
            <w:pPr>
              <w:pStyle w:val="Compact"/>
            </w:pPr>
            <w:r>
              <w:t xml:space="preserve">Assured Workloads needs no flag — it</w:t>
            </w:r>
            <w:r>
              <w:t xml:space="preserve"> </w:t>
            </w:r>
            <w:r>
              <w:rPr>
                <w:i/>
                <w:iCs/>
              </w:rPr>
              <w:t xml:space="preserve">is</w:t>
            </w:r>
            <w:r>
              <w:t xml:space="preserve"> </w:t>
            </w:r>
            <w:r>
              <w:t xml:space="preserve">the Moderate control package; Security Command Center exceeds Moderate and needs the boundary treatment documented if adopted. Neither is procured today — Defender for Cloud’s native GCP ingestion is the only mechanism actually in place</w:t>
            </w:r>
          </w:p>
        </w:tc>
      </w:tr>
      <w:tr>
        <w:tc>
          <w:tcPr/>
          <w:p>
            <w:pPr>
              <w:pStyle w:val="Compact"/>
            </w:pPr>
            <w:r>
              <w:t xml:space="preserve">OCI</w:t>
            </w:r>
          </w:p>
        </w:tc>
        <w:tc>
          <w:tcPr/>
          <w:p>
            <w:pPr>
              <w:pStyle w:val="Compact"/>
            </w:pPr>
            <w:r>
              <w:t xml:space="preserve">OCI Cloud Guard (unified misconfiguration and threat detection across the OCI tenancy)</w:t>
            </w:r>
          </w:p>
        </w:tc>
        <w:tc>
          <w:tcPr/>
          <w:p>
            <w:pPr>
              <w:pStyle w:val="Compact"/>
            </w:pPr>
            <w:r>
              <w:t xml:space="preserve">No</w:t>
            </w:r>
          </w:p>
        </w:tc>
        <w:tc>
          <w:tcPr/>
          <w:p>
            <w:pPr>
              <w:pStyle w:val="Compact"/>
            </w:pPr>
            <w:r>
              <w:t xml:space="preserve">FedRAMP-authorized, above Moderate (DISA IL5 / JAB)</w:t>
            </w:r>
          </w:p>
        </w:tc>
        <w:tc>
          <w:tcPr/>
          <w:p>
            <w:pPr>
              <w:pStyle w:val="Compact"/>
            </w:pPr>
            <w:r>
              <w:t xml:space="preserve">Exceeds Moderate, boundary treatment documented; residual-gap closer only — Defender’s native coverage does not extend to OCI/OKE</w:t>
            </w:r>
          </w:p>
        </w:tc>
      </w:tr>
      <w:tr>
        <w:tc>
          <w:tcPr/>
          <w:p>
            <w:pPr>
              <w:pStyle w:val="Compact"/>
            </w:pPr>
            <w:r>
              <w:t xml:space="preserve">VMware</w:t>
            </w:r>
          </w:p>
        </w:tc>
        <w:tc>
          <w:tcPr/>
          <w:p>
            <w:pPr>
              <w:pStyle w:val="Compact"/>
            </w:pPr>
            <w:r>
              <w:t xml:space="preserve">VMware Aria Operations for Compliance</w:t>
            </w:r>
          </w:p>
        </w:tc>
        <w:tc>
          <w:tcPr/>
          <w:p>
            <w:pPr>
              <w:pStyle w:val="Compact"/>
            </w:pPr>
            <w:r>
              <w:t xml:space="preserve">Yes</w:t>
            </w:r>
          </w:p>
        </w:tc>
        <w:tc>
          <w:tcPr/>
          <w:p>
            <w:pPr>
              <w:pStyle w:val="Compact"/>
            </w:pPr>
            <w:r>
              <w:t xml:space="preserve">Not a CSP offering — no independent FedRAMP authorization</w:t>
            </w:r>
          </w:p>
        </w:tc>
        <w:tc>
          <w:tcPr/>
          <w:p>
            <w:pPr>
              <w:pStyle w:val="Compact"/>
            </w:pPr>
            <w:r>
              <w:t xml:space="preserve">Inherits the deploying system’s own ATO boundary, same as other customer-operated software in the estate</w:t>
            </w:r>
          </w:p>
        </w:tc>
      </w:tr>
    </w:tbl>
    <w:p>
      <w:pPr>
        <w:pStyle w:val="BodyText"/>
      </w:pPr>
      <w:r>
        <w:t xml:space="preserve">GCP and OCI now carry the same named-mechanism depth as the owned platforms</w:t>
      </w:r>
      <w:r>
        <w:t xml:space="preserve"> </w:t>
      </w:r>
      <w:r>
        <w:t xml:space="preserve">above even though neither is procured: Assured Workloads and Cloud Guard are</w:t>
      </w:r>
      <w:r>
        <w:t xml:space="preserve"> </w:t>
      </w:r>
      <w:r>
        <w:t xml:space="preserve">each the specific</w:t>
      </w:r>
      <w:r>
        <w:t xml:space="preserve"> </w:t>
      </w:r>
      <w:r>
        <w:rPr>
          <w:i/>
          <w:iCs/>
        </w:rPr>
        <w:t xml:space="preserve">adoption default</w:t>
      </w:r>
      <w:r>
        <w:t xml:space="preserve"> </w:t>
      </w:r>
      <w:r>
        <w:t xml:space="preserve">for their platform — the tool this book</w:t>
      </w:r>
      <w:r>
        <w:t xml:space="preserve"> </w:t>
      </w:r>
      <w:r>
        <w:t xml:space="preserve">recommends the day the agency actually stands up GCP or OCI — not a claim that</w:t>
      </w:r>
      <w:r>
        <w:t xml:space="preserve"> </w:t>
      </w:r>
      <w:r>
        <w:t xml:space="preserve">either is in place today. Until then, Defender for Cloud’s native GCP ingestion</w:t>
      </w:r>
      <w:r>
        <w:t xml:space="preserve"> </w:t>
      </w:r>
      <w:r>
        <w:t xml:space="preserve">covers GCP and Cloud Guard’s residual-gap role for OCI/OKE is aspirational</w:t>
      </w:r>
      <w:r>
        <w:t xml:space="preserve"> </w:t>
      </w:r>
      <w:r>
        <w:t xml:space="preserve">rather than active, exactly as the</w:t>
      </w:r>
      <w:r>
        <w:t xml:space="preserve"> </w:t>
      </w:r>
      <w:r>
        <w:t xml:space="preserve">“Owned today”</w:t>
      </w:r>
      <w:r>
        <w:t xml:space="preserve"> </w:t>
      </w:r>
      <w:r>
        <w:t xml:space="preserve">column states.</w:t>
      </w:r>
    </w:p>
    <w:p>
      <w:pPr>
        <w:pStyle w:val="BodyText"/>
      </w:pPr>
      <w:r>
        <w:t xml:space="preserve">The agency also prefers</w:t>
      </w:r>
      <w:r>
        <w:t xml:space="preserve"> </w:t>
      </w:r>
      <w:r>
        <w:rPr>
          <w:b/>
          <w:bCs/>
        </w:rPr>
        <w:t xml:space="preserve">Palo Alto (Prisma Cloud)</w:t>
      </w:r>
      <w:r>
        <w:t xml:space="preserve"> </w:t>
      </w:r>
      <w:r>
        <w:t xml:space="preserve">as a whole-platform CNAPP</w:t>
      </w:r>
      <w:r>
        <w:t xml:space="preserve"> </w:t>
      </w:r>
      <w:r>
        <w:t xml:space="preserve">alternative to Defender, and Prisma Cloud is among the most feature-complete</w:t>
      </w:r>
      <w:r>
        <w:t xml:space="preserve"> </w:t>
      </w:r>
      <w:r>
        <w:t xml:space="preserve">CNAPPs — but it is</w:t>
      </w:r>
      <w:r>
        <w:t xml:space="preserve"> </w:t>
      </w:r>
      <w:r>
        <w:rPr>
          <w:b/>
          <w:bCs/>
        </w:rPr>
        <w:t xml:space="preserve">FedRAMP High-only</w:t>
      </w:r>
      <w:r>
        <w:t xml:space="preserve">, as is</w:t>
      </w:r>
      <w:r>
        <w:t xml:space="preserve"> </w:t>
      </w:r>
      <w:r>
        <w:rPr>
          <w:b/>
          <w:bCs/>
        </w:rPr>
        <w:t xml:space="preserve">Wiz for Government</w:t>
      </w:r>
      <w:r>
        <w:t xml:space="preserve">. Under</w:t>
      </w:r>
      <w:r>
        <w:t xml:space="preserve"> </w:t>
      </w:r>
      <w:r>
        <w:t xml:space="preserve">the Moderate-exclusive rule this is the identical flag as the AWS/GCP/OCI rows</w:t>
      </w:r>
      <w:r>
        <w:t xml:space="preserve"> </w:t>
      </w:r>
      <w:r>
        <w:t xml:space="preserve">above: High exceeds Moderate, so either product may be used if the boundary</w:t>
      </w:r>
      <w:r>
        <w:t xml:space="preserve"> </w:t>
      </w:r>
      <w:r>
        <w:t xml:space="preserve">treatment is documented, or Defender for Cloud is selected to stay natively at</w:t>
      </w:r>
      <w:r>
        <w:t xml:space="preserve"> </w:t>
      </w:r>
      <w:r>
        <w:t xml:space="preserve">Moderate. This is an explicit procurement/boundary decision, recorded in the</w:t>
      </w:r>
      <w:r>
        <w:t xml:space="preserve"> </w:t>
      </w:r>
      <w:r>
        <w:t xml:space="preserve">Product Inventory Questionnaire’s flag list.</w:t>
      </w:r>
    </w:p>
    <w:bookmarkEnd w:id="11"/>
    <w:bookmarkEnd w:id="12"/>
    <w:bookmarkStart w:id="13" w:name="X952d34da7a054652f8ff0e8b45a118b1e8917dd"/>
    <w:p>
      <w:pPr>
        <w:pStyle w:val="Heading1"/>
      </w:pPr>
      <w:r>
        <w:t xml:space="preserve">3. CNAPP — One Platform, Four Overlapping Views</w:t>
      </w:r>
    </w:p>
    <w:p>
      <w:pPr>
        <w:pStyle w:val="FirstParagraph"/>
      </w:pPr>
      <w:r>
        <w:t xml:space="preserve">A cloud-native application protection platform unifies what were separate tools: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CNAPP view</w:t>
            </w:r>
          </w:p>
        </w:tc>
        <w:tc>
          <w:tcPr/>
          <w:p>
            <w:pPr>
              <w:pStyle w:val="Compact"/>
            </w:pPr>
            <w:r>
              <w:t xml:space="preserve">Question it answers</w:t>
            </w:r>
          </w:p>
        </w:tc>
        <w:tc>
          <w:tcPr/>
          <w:p>
            <w:pPr>
              <w:pStyle w:val="Compact"/>
            </w:pPr>
            <w:r>
              <w:t xml:space="preserve">NIST control</w:t>
            </w:r>
          </w:p>
        </w:tc>
        <w:tc>
          <w:tcPr/>
          <w:p>
            <w:pPr>
              <w:pStyle w:val="Compact"/>
            </w:pPr>
            <w:r>
              <w:t xml:space="preserve">This series</w:t>
            </w:r>
          </w:p>
        </w:tc>
      </w:tr>
      <w:tr>
        <w:tc>
          <w:tcPr/>
          <w:p>
            <w:pPr>
              <w:pStyle w:val="Compact"/>
            </w:pPr>
            <w:r>
              <w:rPr>
                <w:b/>
                <w:bCs/>
              </w:rPr>
              <w:t xml:space="preserve">CSPM</w:t>
            </w:r>
          </w:p>
        </w:tc>
        <w:tc>
          <w:tcPr/>
          <w:p>
            <w:pPr>
              <w:pStyle w:val="Compact"/>
            </w:pPr>
            <w:r>
              <w:t xml:space="preserve">Is the cloud resource misconfigured?</w:t>
            </w:r>
          </w:p>
        </w:tc>
        <w:tc>
          <w:tcPr/>
          <w:p>
            <w:pPr>
              <w:pStyle w:val="Compact"/>
            </w:pPr>
            <w:r>
              <w:t xml:space="preserve">CM-6</w:t>
            </w:r>
          </w:p>
        </w:tc>
        <w:tc>
          <w:tcPr/>
          <w:p>
            <w:pPr>
              <w:pStyle w:val="Compact"/>
            </w:pPr>
            <w:r>
              <w:t xml:space="preserve">this book</w:t>
            </w:r>
          </w:p>
        </w:tc>
      </w:tr>
      <w:tr>
        <w:tc>
          <w:tcPr/>
          <w:p>
            <w:pPr>
              <w:pStyle w:val="Compact"/>
            </w:pPr>
            <w:r>
              <w:rPr>
                <w:b/>
                <w:bCs/>
              </w:rPr>
              <w:t xml:space="preserve">CWPP</w:t>
            </w:r>
          </w:p>
        </w:tc>
        <w:tc>
          <w:tcPr/>
          <w:p>
            <w:pPr>
              <w:pStyle w:val="Compact"/>
            </w:pPr>
            <w:r>
              <w:t xml:space="preserve">Is the workload/image vulnerable?</w:t>
            </w:r>
          </w:p>
        </w:tc>
        <w:tc>
          <w:tcPr/>
          <w:p>
            <w:pPr>
              <w:pStyle w:val="Compact"/>
            </w:pPr>
            <w:r>
              <w:t xml:space="preserve">RA-5</w:t>
            </w:r>
          </w:p>
        </w:tc>
        <w:tc>
          <w:tcPr/>
          <w:p>
            <w:pPr>
              <w:pStyle w:val="Compact"/>
            </w:pPr>
            <w:r>
              <w:t xml:space="preserve">this book (assessment handoff to Patch for SI-2)</w:t>
            </w:r>
          </w:p>
        </w:tc>
      </w:tr>
      <w:tr>
        <w:tc>
          <w:tcPr/>
          <w:p>
            <w:pPr>
              <w:pStyle w:val="Compact"/>
            </w:pPr>
            <w:r>
              <w:rPr>
                <w:b/>
                <w:bCs/>
              </w:rPr>
              <w:t xml:space="preserve">Network exposure / attack path</w:t>
            </w:r>
          </w:p>
        </w:tc>
        <w:tc>
          <w:tcPr/>
          <w:p>
            <w:pPr>
              <w:pStyle w:val="Compact"/>
            </w:pPr>
            <w:r>
              <w:t xml:space="preserve">Can this workload be reached, and what can it reach?</w:t>
            </w:r>
          </w:p>
        </w:tc>
        <w:tc>
          <w:tcPr/>
          <w:p>
            <w:pPr>
              <w:pStyle w:val="Compact"/>
            </w:pPr>
            <w:r>
              <w:t xml:space="preserve">SC-7</w:t>
            </w:r>
          </w:p>
        </w:tc>
        <w:tc>
          <w:tcPr/>
          <w:p>
            <w:pPr>
              <w:pStyle w:val="Compact"/>
            </w:pPr>
            <w:r>
              <w:t xml:space="preserve">this book (cloud-plane SC-7; edge SC-7 is the Network Enforcement book)</w:t>
            </w:r>
          </w:p>
        </w:tc>
      </w:tr>
      <w:tr>
        <w:tc>
          <w:tcPr/>
          <w:p>
            <w:pPr>
              <w:pStyle w:val="Compact"/>
            </w:pPr>
            <w:r>
              <w:rPr>
                <w:b/>
                <w:bCs/>
              </w:rPr>
              <w:t xml:space="preserve">CIEM</w:t>
            </w:r>
          </w:p>
        </w:tc>
        <w:tc>
          <w:tcPr/>
          <w:p>
            <w:pPr>
              <w:pStyle w:val="Compact"/>
            </w:pPr>
            <w:r>
              <w:t xml:space="preserve">Does this identity have far more access than it uses?</w:t>
            </w:r>
          </w:p>
        </w:tc>
        <w:tc>
          <w:tcPr/>
          <w:p>
            <w:pPr>
              <w:pStyle w:val="Compact"/>
            </w:pPr>
            <w:r>
              <w:t xml:space="preserve">AC-6</w:t>
            </w:r>
          </w:p>
        </w:tc>
        <w:tc>
          <w:tcPr/>
          <w:p>
            <w:pPr>
              <w:pStyle w:val="Compact"/>
            </w:pPr>
            <w:r>
              <w:t xml:space="preserve">cross-ref Privileged Access Management book (cloud-entitlement layer)</w:t>
            </w:r>
          </w:p>
        </w:tc>
      </w:tr>
      <w:tr>
        <w:tc>
          <w:tcPr/>
          <w:p>
            <w:pPr>
              <w:pStyle w:val="Compact"/>
            </w:pPr>
            <w:r>
              <w:rPr>
                <w:b/>
                <w:bCs/>
              </w:rPr>
              <w:t xml:space="preserve">Code / IaC (shift-left)</w:t>
            </w:r>
          </w:p>
        </w:tc>
        <w:tc>
          <w:tcPr/>
          <w:p>
            <w:pPr>
              <w:pStyle w:val="Compact"/>
            </w:pPr>
            <w:r>
              <w:t xml:space="preserve">Is the misconfiguration or vuln present</w:t>
            </w:r>
            <w:r>
              <w:t xml:space="preserve"> </w:t>
            </w:r>
            <w:r>
              <w:rPr>
                <w:i/>
                <w:iCs/>
              </w:rPr>
              <w:t xml:space="preserve">before</w:t>
            </w:r>
            <w:r>
              <w:t xml:space="preserve"> </w:t>
            </w:r>
            <w:r>
              <w:t xml:space="preserve">deploy?</w:t>
            </w:r>
          </w:p>
        </w:tc>
        <w:tc>
          <w:tcPr/>
          <w:p>
            <w:pPr>
              <w:pStyle w:val="Compact"/>
            </w:pPr>
            <w:r>
              <w:t xml:space="preserve">SA-11</w:t>
            </w:r>
          </w:p>
        </w:tc>
        <w:tc>
          <w:tcPr/>
          <w:p>
            <w:pPr>
              <w:pStyle w:val="Compact"/>
            </w:pPr>
            <w:r>
              <w:t xml:space="preserve">this book (SSDF, NIST SP 800-218)</w:t>
            </w:r>
          </w:p>
        </w:tc>
      </w:tr>
    </w:tbl>
    <w:p>
      <w:pPr>
        <w:pStyle w:val="BodyText"/>
      </w:pPr>
      <w:r>
        <w:t xml:space="preserve">The</w:t>
      </w:r>
      <w:r>
        <w:t xml:space="preserve"> </w:t>
      </w:r>
      <w:r>
        <w:rPr>
          <w:b/>
          <w:bCs/>
        </w:rPr>
        <w:t xml:space="preserve">attack-path</w:t>
      </w:r>
      <w:r>
        <w:t xml:space="preserve"> </w:t>
      </w:r>
      <w:r>
        <w:t xml:space="preserve">view (SC-7) is the distinctive CNAPP capability: it composes</w:t>
      </w:r>
      <w:r>
        <w:t xml:space="preserve"> </w:t>
      </w:r>
      <w:r>
        <w:t xml:space="preserve">misconfiguration + exposure + vulnerability + entitlement into</w:t>
      </w:r>
      <w:r>
        <w:t xml:space="preserve"> </w:t>
      </w:r>
      <w:r>
        <w:t xml:space="preserve">“this</w:t>
      </w:r>
      <w:r>
        <w:t xml:space="preserve"> </w:t>
      </w:r>
      <w:r>
        <w:t xml:space="preserve">internet-reachable workload has a critical vuln and an over-permissioned role to</w:t>
      </w:r>
      <w:r>
        <w:t xml:space="preserve"> </w:t>
      </w:r>
      <w:r>
        <w:t xml:space="preserve">the data store”</w:t>
      </w:r>
      <w:r>
        <w:t xml:space="preserve"> </w:t>
      </w:r>
      <w:r>
        <w:t xml:space="preserve">— a single prioritized finding no host scanner produces. It is a</w:t>
      </w:r>
      <w:r>
        <w:t xml:space="preserve"> </w:t>
      </w:r>
      <w:r>
        <w:t xml:space="preserve">cloud-plane SC-7 closure, distinct from the customer-edge SC-7 the Network</w:t>
      </w:r>
      <w:r>
        <w:t xml:space="preserve"> </w:t>
      </w:r>
      <w:r>
        <w:t xml:space="preserve">Enforcement Substrate book closes on gear.</w:t>
      </w:r>
    </w:p>
    <w:bookmarkEnd w:id="13"/>
    <w:bookmarkStart w:id="14" w:name="kubernetes-container-security-cm-7-si-3"/>
    <w:p>
      <w:pPr>
        <w:pStyle w:val="Heading1"/>
      </w:pPr>
      <w:r>
        <w:t xml:space="preserve">4. Kubernetes &amp; Container Security (CM-7, SI-3)</w:t>
      </w:r>
    </w:p>
    <w:p>
      <w:pPr>
        <w:pStyle w:val="FirstParagraph"/>
      </w:pPr>
      <w:r>
        <w:t xml:space="preserve">Containers add a layer host tools do not reach:</w:t>
      </w:r>
    </w:p>
    <w:p>
      <w:pPr>
        <w:pStyle w:val="Compact"/>
        <w:numPr>
          <w:ilvl w:val="0"/>
          <w:numId w:val="1002"/>
        </w:numPr>
      </w:pPr>
      <w:r>
        <w:rPr>
          <w:b/>
          <w:bCs/>
        </w:rPr>
        <w:t xml:space="preserve">Image scanning</w:t>
      </w:r>
      <w:r>
        <w:t xml:space="preserve"> </w:t>
      </w:r>
      <w:r>
        <w:t xml:space="preserve">— vulnerabilities and secrets caught in the registry at</w:t>
      </w:r>
      <w:r>
        <w:t xml:space="preserve"> </w:t>
      </w:r>
      <w:r>
        <w:t xml:space="preserve">build time (CWPP/RA-5), so remediation is a rebuild, not a host patch (this is</w:t>
      </w:r>
      <w:r>
        <w:t xml:space="preserve"> </w:t>
      </w:r>
      <w:r>
        <w:t xml:space="preserve">the container path the Patch &amp; Systems Management book explicitly defers here).</w:t>
      </w:r>
    </w:p>
    <w:p>
      <w:pPr>
        <w:pStyle w:val="Compact"/>
        <w:numPr>
          <w:ilvl w:val="0"/>
          <w:numId w:val="1002"/>
        </w:numPr>
      </w:pPr>
      <w:r>
        <w:rPr>
          <w:b/>
          <w:bCs/>
        </w:rPr>
        <w:t xml:space="preserve">Admission control (CM-7)</w:t>
      </w:r>
      <w:r>
        <w:t xml:space="preserve"> </w:t>
      </w:r>
      <w:r>
        <w:t xml:space="preserve">— Kubernetes admission policy</w:t>
      </w:r>
      <w:r>
        <w:t xml:space="preserve"> </w:t>
      </w:r>
      <w:r>
        <w:rPr>
          <w:i/>
          <w:iCs/>
        </w:rPr>
        <w:t xml:space="preserve">denies</w:t>
      </w:r>
      <w:r>
        <w:t xml:space="preserve"> </w:t>
      </w:r>
      <w:r>
        <w:t xml:space="preserve">non-</w:t>
      </w:r>
      <w:r>
        <w:t xml:space="preserve"> </w:t>
      </w:r>
      <w:r>
        <w:t xml:space="preserve">compliant workloads at deploy: no privileged pods, no unscanned images, no</w:t>
      </w:r>
      <w:r>
        <w:t xml:space="preserve"> </w:t>
      </w:r>
      <w:r>
        <w:t xml:space="preserve">latest tags. Least functionality enforced at the gate.</w:t>
      </w:r>
    </w:p>
    <w:p>
      <w:pPr>
        <w:pStyle w:val="Compact"/>
        <w:numPr>
          <w:ilvl w:val="0"/>
          <w:numId w:val="1002"/>
        </w:numPr>
      </w:pPr>
      <w:r>
        <w:rPr>
          <w:b/>
          <w:bCs/>
        </w:rPr>
        <w:t xml:space="preserve">Runtime threat detection (SI-3)</w:t>
      </w:r>
      <w:r>
        <w:t xml:space="preserve"> </w:t>
      </w:r>
      <w:r>
        <w:t xml:space="preserve">— behavioral detection in running</w:t>
      </w:r>
      <w:r>
        <w:t xml:space="preserve"> </w:t>
      </w:r>
      <w:r>
        <w:t xml:space="preserve">containers (unexpected process, drift from image, lateral movement).</w:t>
      </w:r>
    </w:p>
    <w:bookmarkEnd w:id="14"/>
    <w:bookmarkStart w:id="15" w:name="feeding-the-evidence-fabric"/>
    <w:p>
      <w:pPr>
        <w:pStyle w:val="Heading1"/>
      </w:pPr>
      <w:r>
        <w:t xml:space="preserve">5. Feeding the Evidence Fabric</w:t>
      </w:r>
    </w:p>
    <w:p>
      <w:pPr>
        <w:pStyle w:val="FirstParagraph"/>
      </w:pPr>
      <w:r>
        <w:t xml:space="preserve">Every finding here — a CSPM misconfiguration verdict, a CWPP vulnerability, an</w:t>
      </w:r>
      <w:r>
        <w:t xml:space="preserve"> </w:t>
      </w:r>
      <w:r>
        <w:t xml:space="preserve">attack-path alert, an admission denial — emits the</w:t>
      </w:r>
      <w:r>
        <w:t xml:space="preserve"> </w:t>
      </w:r>
      <w:r>
        <w:rPr>
          <w:b/>
          <w:bCs/>
        </w:rPr>
        <w:t xml:space="preserve">unified evidence-record</w:t>
      </w:r>
      <w:r>
        <w:rPr>
          <w:b/>
          <w:bCs/>
        </w:rPr>
        <w:t xml:space="preserve"> </w:t>
      </w:r>
      <w:r>
        <w:rPr>
          <w:b/>
          <w:bCs/>
        </w:rPr>
        <w:t xml:space="preserve">contract</w:t>
      </w:r>
      <w:r>
        <w:t xml:space="preserve"> </w:t>
      </w:r>
      <w:r>
        <w:t xml:space="preserve">into the fabric, keyed to authoritative asset identity, and rolls up</w:t>
      </w:r>
      <w:r>
        <w:t xml:space="preserve"> </w:t>
      </w:r>
      <w:r>
        <w:t xml:space="preserve">to CISA CDM and the FedRAMP 20x KSI pipeline (see the Multi-Cloud Evidence</w:t>
      </w:r>
      <w:r>
        <w:t xml:space="preserve"> </w:t>
      </w:r>
      <w:r>
        <w:t xml:space="preserve">Fabric book). Posture is not a standalone dashboard; it is one more source in</w:t>
      </w:r>
      <w:r>
        <w:t xml:space="preserve"> </w:t>
      </w:r>
      <w:r>
        <w:t xml:space="preserve">the one compliance picture.</w:t>
      </w:r>
    </w:p>
    <w:bookmarkEnd w:id="15"/>
    <w:bookmarkStart w:id="16" w:name="Xebd9fbc0874ac437cee95afe649484f9b290fc1"/>
    <w:p>
      <w:pPr>
        <w:pStyle w:val="Heading1"/>
      </w:pPr>
      <w:r>
        <w:t xml:space="preserve">6. 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via</w:t>
      </w:r>
      <w:r>
        <w:t xml:space="preserve"> </w:t>
      </w:r>
      <w:r>
        <w:rPr>
          <w:rStyle w:val="VerbatimChar"/>
        </w:rPr>
        <w:t xml:space="preserve">render_authorities_table.py</w:t>
      </w:r>
      <w:r>
        <w:t xml:space="preserve">; not hand-maintained. Note the</w:t>
      </w:r>
      <w:r>
        <w:t xml:space="preserve"> </w:t>
      </w:r>
      <w:r>
        <w:rPr>
          <w:i/>
          <w:iCs/>
        </w:rPr>
        <w:t xml:space="preserve">layer</w:t>
      </w:r>
      <w:r>
        <w:t xml:space="preserve"> </w:t>
      </w:r>
      <w:r>
        <w:t xml:space="preserve">distinctions:</w:t>
      </w:r>
      <w:r>
        <w:t xml:space="preserve"> </w:t>
      </w:r>
      <w:r>
        <w:t xml:space="preserve">CM-6 here is cloud-resource misconfiguration (the Patch book closes OS-baseline</w:t>
      </w:r>
      <w:r>
        <w:t xml:space="preserve"> </w:t>
      </w:r>
      <w:r>
        <w:t xml:space="preserve">CM-6); SC-7 here is cloud attack-path exposure (the Network Enforcement book</w:t>
      </w:r>
      <w:r>
        <w:t xml:space="preserve"> </w:t>
      </w:r>
      <w:r>
        <w:t xml:space="preserve">closes edge SC-7); RA-5 here is cloud/container scanning (the Vulnerability</w:t>
      </w:r>
      <w:r>
        <w:t xml:space="preserve"> </w:t>
      </w:r>
      <w:r>
        <w:t xml:space="preserve">Management book owns host RA-5).</w:t>
      </w:r>
    </w:p>
    <w:p>
      <w:pPr>
        <w:pStyle w:val="TableCaption"/>
      </w:pPr>
      <w:r>
        <w:t xml:space="preserve">Authorities Closed Here — Cloud-Native Security Posture &amp; Containers (CSPM/CNAPP, K8s) († = Closure-Necessity anchor: no alternate closure path)</w:t>
      </w:r>
    </w:p>
    <w:tbl>
      <w:tblPr>
        <w:tblStyle w:val="Table"/>
        <w:tblW w:type="pct" w:w="5000"/>
        <w:tblLayout w:type="fixed"/>
        <w:tblLook w:firstRow="1" w:lastRow="0" w:firstColumn="0" w:lastColumn="0" w:noHBand="0" w:noVBand="0" w:val="0020"/>
        <w:tblCaption w:val="Authorities Closed Here — Cloud-Native Security Posture &amp; Containers (CSPM/CNAPP, K8s)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CM-7</w:t>
            </w:r>
          </w:p>
        </w:tc>
        <w:tc>
          <w:tcPr/>
          <w:p>
            <w:pPr>
              <w:pStyle w:val="Compact"/>
            </w:pPr>
            <w:r>
              <w:t xml:space="preserve">Least Functionality</w:t>
            </w:r>
          </w:p>
        </w:tc>
        <w:tc>
          <w:tcPr/>
          <w:p>
            <w:pPr>
              <w:pStyle w:val="Compact"/>
            </w:pPr>
            <w:r>
              <w:t xml:space="preserve">Container hardening + Kubernetes admission control (deny non-compliant workloads)</w:t>
            </w:r>
          </w:p>
        </w:tc>
        <w:tc>
          <w:tcPr/>
          <w:p>
            <w:pPr>
              <w:pStyle w:val="Compact"/>
            </w:pPr>
            <w:r>
              <w:t xml:space="preserve">FedRAMP Moderate</w:t>
            </w:r>
          </w:p>
        </w:tc>
        <w:tc>
          <w:tcPr/>
          <w:p>
            <w:pPr>
              <w:pStyle w:val="Compact"/>
            </w:pPr>
            <w:r>
              <w:t xml:space="preserve">NIST SP 800-53 Rev 5</w:t>
            </w:r>
          </w:p>
        </w:tc>
        <w:tc>
          <w:tcPr/>
          <w:p>
            <w:pPr>
              <w:pStyle w:val="Compact"/>
            </w:pPr>
            <w:r>
              <w:t xml:space="preserve">Security / supply chain</w:t>
            </w:r>
          </w:p>
        </w:tc>
        <w:tc>
          <w:tcPr/>
          <w:p>
            <w:pPr>
              <w:pStyle w:val="Compact"/>
            </w:pPr>
            <w:r>
              <w:t xml:space="preserve">KSI-SVC</w:t>
            </w:r>
          </w:p>
        </w:tc>
        <w:tc>
          <w:tcPr/>
          <w:p>
            <w:pPr>
              <w:pStyle w:val="Compact"/>
            </w:pPr>
            <w:r>
              <w:t xml:space="preserve">No</w:t>
            </w:r>
          </w:p>
        </w:tc>
      </w:tr>
      <w:tr>
        <w:tc>
          <w:tcPr/>
          <w:p>
            <w:pPr>
              <w:pStyle w:val="Compact"/>
            </w:pPr>
            <w:r>
              <w:t xml:space="preserve">SC-7</w:t>
            </w:r>
          </w:p>
        </w:tc>
        <w:tc>
          <w:tcPr/>
          <w:p>
            <w:pPr>
              <w:pStyle w:val="Compact"/>
            </w:pPr>
            <w:r>
              <w:t xml:space="preserve">Boundary Protection</w:t>
            </w:r>
          </w:p>
        </w:tc>
        <w:tc>
          <w:tcPr/>
          <w:p>
            <w:pPr>
              <w:pStyle w:val="Compact"/>
            </w:pPr>
            <w:r>
              <w:t xml:space="preserve">Cloud network-exposure and attack-path analysis (CNAPP) — internet-reachable workloads flagged</w:t>
            </w:r>
          </w:p>
        </w:tc>
        <w:tc>
          <w:tcPr/>
          <w:p>
            <w:pPr>
              <w:pStyle w:val="Compact"/>
            </w:pPr>
            <w:r>
              <w:t xml:space="preserve">FedRAMP Moderate</w:t>
            </w:r>
          </w:p>
        </w:tc>
        <w:tc>
          <w:tcPr/>
          <w:p>
            <w:pPr>
              <w:pStyle w:val="Compact"/>
            </w:pPr>
            <w:r>
              <w:t xml:space="preserve">NIST SP 800-53 Rev 5; NIST SP 800-207</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CM-6</w:t>
            </w:r>
          </w:p>
        </w:tc>
        <w:tc>
          <w:tcPr/>
          <w:p>
            <w:pPr>
              <w:pStyle w:val="Compact"/>
            </w:pPr>
            <w:r>
              <w:t xml:space="preserve">Configuration Settings</w:t>
            </w:r>
          </w:p>
        </w:tc>
        <w:tc>
          <w:tcPr/>
          <w:p>
            <w:pPr>
              <w:pStyle w:val="Compact"/>
            </w:pPr>
            <w:r>
              <w:t xml:space="preserve">Cloud resource misconfiguration detection across CSPs (CSPM) — Defender for Cloud (Azure/AWS/GCP, Moderate default); AWS Config + Security Hub (AWS, owned, primary for AWS — High-covers-Moderate in AWS GovCloud); Google Assured Workloads + Security Command Center (GCP, adoption default if procured — Assured Workloads native Moderate, SCC High-covers-Moderate); VMware Aria Operations for Compliance (VMware, owned, boundary-inherited — not independently FedRAMP-authorized); OCI Cloud Guard (OCI, adoption default if procured, residual gap closer, High-covers-Moderate); Prisma Cloud/Wiz (High, alternative)</w:t>
            </w:r>
          </w:p>
        </w:tc>
        <w:tc>
          <w:tcPr/>
          <w:p>
            <w:pPr>
              <w:pStyle w:val="Compact"/>
            </w:pPr>
            <w:r>
              <w:t xml:space="preserve">FedRAMP Moderate</w:t>
            </w:r>
          </w:p>
        </w:tc>
        <w:tc>
          <w:tcPr/>
          <w:p>
            <w:pPr>
              <w:pStyle w:val="Compact"/>
            </w:pPr>
            <w:r>
              <w:t xml:space="preserve">NIST SP 800-53 Rev 5; CISA SCuBA</w:t>
            </w:r>
          </w:p>
        </w:tc>
        <w:tc>
          <w:tcPr/>
          <w:p>
            <w:pPr>
              <w:pStyle w:val="Compact"/>
            </w:pPr>
            <w:r>
              <w:t xml:space="preserve">Security / supply chain</w:t>
            </w:r>
          </w:p>
        </w:tc>
        <w:tc>
          <w:tcPr/>
          <w:p>
            <w:pPr>
              <w:pStyle w:val="Compact"/>
            </w:pPr>
            <w:r>
              <w:t xml:space="preserve">KSI-CMT, KSI-SVC</w:t>
            </w:r>
          </w:p>
        </w:tc>
        <w:tc>
          <w:tcPr/>
          <w:p>
            <w:pPr>
              <w:pStyle w:val="Compact"/>
            </w:pPr>
            <w:r>
              <w:t xml:space="preserve">No</w:t>
            </w:r>
          </w:p>
        </w:tc>
      </w:tr>
      <w:tr>
        <w:tc>
          <w:tcPr/>
          <w:p>
            <w:pPr>
              <w:pStyle w:val="Compact"/>
            </w:pPr>
            <w:r>
              <w:t xml:space="preserve">RA-5</w:t>
            </w:r>
          </w:p>
        </w:tc>
        <w:tc>
          <w:tcPr/>
          <w:p>
            <w:pPr>
              <w:pStyle w:val="Compact"/>
            </w:pPr>
            <w:r>
              <w:t xml:space="preserve">Vulnerability Monitoring and Scanning</w:t>
            </w:r>
          </w:p>
        </w:tc>
        <w:tc>
          <w:tcPr/>
          <w:p>
            <w:pPr>
              <w:pStyle w:val="Compact"/>
            </w:pPr>
            <w:r>
              <w:t xml:space="preserve">Agentless cloud-workload + container-image vulnerability scanning (CNAPP/CWPP)</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Security / supply chain</w:t>
            </w:r>
          </w:p>
        </w:tc>
        <w:tc>
          <w:tcPr/>
          <w:p>
            <w:pPr>
              <w:pStyle w:val="Compact"/>
            </w:pPr>
            <w:r>
              <w:t xml:space="preserve">KSI-MLA</w:t>
            </w:r>
          </w:p>
        </w:tc>
        <w:tc>
          <w:tcPr/>
          <w:p>
            <w:pPr>
              <w:pStyle w:val="Compact"/>
            </w:pPr>
            <w:r>
              <w:t xml:space="preserve">No</w:t>
            </w:r>
          </w:p>
        </w:tc>
      </w:tr>
      <w:tr>
        <w:tc>
          <w:tcPr/>
          <w:p>
            <w:pPr>
              <w:pStyle w:val="Compact"/>
            </w:pPr>
            <w:r>
              <w:t xml:space="preserve">SA-11</w:t>
            </w:r>
          </w:p>
        </w:tc>
        <w:tc>
          <w:tcPr/>
          <w:p>
            <w:pPr>
              <w:pStyle w:val="Compact"/>
            </w:pPr>
            <w:r>
              <w:t xml:space="preserve">Developer Testing and Evaluation</w:t>
            </w:r>
          </w:p>
        </w:tc>
        <w:tc>
          <w:tcPr/>
          <w:p>
            <w:pPr>
              <w:pStyle w:val="Compact"/>
            </w:pPr>
            <w:r>
              <w:t xml:space="preserve">Shift-left IaC and container-image scanning in CI (CNAPP code security)</w:t>
            </w:r>
          </w:p>
        </w:tc>
        <w:tc>
          <w:tcPr/>
          <w:p>
            <w:pPr>
              <w:pStyle w:val="Compact"/>
            </w:pPr>
            <w:r>
              <w:t xml:space="preserve">FedRAMP Moderate</w:t>
            </w:r>
          </w:p>
        </w:tc>
        <w:tc>
          <w:tcPr/>
          <w:p>
            <w:pPr>
              <w:pStyle w:val="Compact"/>
            </w:pPr>
            <w:r>
              <w:t xml:space="preserve">NIST SP 800-53 Rev 5; NIST SP 800-218</w:t>
            </w:r>
          </w:p>
        </w:tc>
        <w:tc>
          <w:tcPr/>
          <w:p>
            <w:pPr>
              <w:pStyle w:val="Compact"/>
            </w:pPr>
            <w:r>
              <w:t xml:space="preserve">Security / supply chain</w:t>
            </w:r>
          </w:p>
        </w:tc>
        <w:tc>
          <w:tcPr/>
          <w:p>
            <w:pPr>
              <w:pStyle w:val="Compact"/>
            </w:pPr>
            <w:r>
              <w:t xml:space="preserve">KSI-SVC</w:t>
            </w:r>
          </w:p>
        </w:tc>
        <w:tc>
          <w:tcPr/>
          <w:p>
            <w:pPr>
              <w:pStyle w:val="Compact"/>
            </w:pPr>
            <w:r>
              <w:t xml:space="preserve">No</w:t>
            </w:r>
          </w:p>
        </w:tc>
      </w:tr>
      <w:tr>
        <w:tc>
          <w:tcPr/>
          <w:p>
            <w:pPr>
              <w:pStyle w:val="Compact"/>
            </w:pPr>
            <w:r>
              <w:t xml:space="preserve">SI-3</w:t>
            </w:r>
          </w:p>
        </w:tc>
        <w:tc>
          <w:tcPr/>
          <w:p>
            <w:pPr>
              <w:pStyle w:val="Compact"/>
            </w:pPr>
            <w:r>
              <w:t xml:space="preserve">Malicious Code Protection</w:t>
            </w:r>
          </w:p>
        </w:tc>
        <w:tc>
          <w:tcPr/>
          <w:p>
            <w:pPr>
              <w:pStyle w:val="Compact"/>
            </w:pPr>
            <w:r>
              <w:t xml:space="preserve">Container / workload runtime threat detection</w:t>
            </w:r>
          </w:p>
        </w:tc>
        <w:tc>
          <w:tcPr/>
          <w:p>
            <w:pPr>
              <w:pStyle w:val="Compact"/>
            </w:pPr>
            <w:r>
              <w:t xml:space="preserve">FedRAMP Moderate</w:t>
            </w:r>
          </w:p>
        </w:tc>
        <w:tc>
          <w:tcPr/>
          <w:p>
            <w:pPr>
              <w:pStyle w:val="Compact"/>
            </w:pPr>
            <w:r>
              <w:t xml:space="preserve">NIST SP 800-53 Rev 5</w:t>
            </w:r>
          </w:p>
        </w:tc>
        <w:tc>
          <w:tcPr/>
          <w:p>
            <w:pPr>
              <w:pStyle w:val="Compact"/>
            </w:pPr>
            <w:r>
              <w:t xml:space="preserve">Security / supply chain</w:t>
            </w:r>
          </w:p>
        </w:tc>
        <w:tc>
          <w:tcPr/>
          <w:p>
            <w:pPr>
              <w:pStyle w:val="Compact"/>
            </w:pPr>
            <w:r>
              <w:t xml:space="preserve">KSI-MLA</w:t>
            </w:r>
          </w:p>
        </w:tc>
        <w:tc>
          <w:tcPr/>
          <w:p>
            <w:pPr>
              <w:pStyle w:val="Compact"/>
            </w:pPr>
            <w:r>
              <w:t xml:space="preserve">No</w:t>
            </w:r>
          </w:p>
        </w:tc>
      </w:tr>
    </w:tbl>
    <w:bookmarkEnd w:id="16"/>
    <w:bookmarkStart w:id="18" w:name="fedramp-20x-ksi-alignment"/>
    <w:p>
      <w:pPr>
        <w:pStyle w:val="Heading1"/>
      </w:pPr>
      <w:r>
        <w:t xml:space="preserve">7. FedRAMP 20x KSI Alignment</w:t>
      </w:r>
    </w:p>
    <w:p>
      <w:pPr>
        <w:pStyle w:val="FirstParagraph"/>
      </w:pPr>
      <w:r>
        <w:t xml:space="preserve">Cloud-native posture feeds</w:t>
      </w:r>
      <w:r>
        <w:t xml:space="preserve"> </w:t>
      </w:r>
      <w:r>
        <w:rPr>
          <w:b/>
          <w:bCs/>
        </w:rPr>
        <w:t xml:space="preserve">KSI-CMT</w:t>
      </w:r>
      <w:r>
        <w:t xml:space="preserve"> </w:t>
      </w:r>
      <w:r>
        <w:t xml:space="preserve">(Change Management — configuration-baseline</w:t>
      </w:r>
      <w:r>
        <w:t xml:space="preserve"> </w:t>
      </w:r>
      <w:r>
        <w:t xml:space="preserve">misconfiguration verdicts),</w:t>
      </w:r>
      <w:r>
        <w:t xml:space="preserve"> </w:t>
      </w:r>
      <w:r>
        <w:rPr>
          <w:b/>
          <w:bCs/>
        </w:rPr>
        <w:t xml:space="preserve">KSI-SVC</w:t>
      </w:r>
      <w:r>
        <w:t xml:space="preserve"> </w:t>
      </w:r>
      <w:r>
        <w:t xml:space="preserve">(Service Configuration — hardening, admission control,</w:t>
      </w:r>
      <w:r>
        <w:t xml:space="preserve"> </w:t>
      </w:r>
      <w:r>
        <w:t xml:space="preserve">IaC), and</w:t>
      </w:r>
      <w:r>
        <w:t xml:space="preserve"> </w:t>
      </w:r>
      <w:r>
        <w:rPr>
          <w:b/>
          <w:bCs/>
        </w:rPr>
        <w:t xml:space="preserve">KSI-MLA</w:t>
      </w:r>
      <w:r>
        <w:t xml:space="preserve"> </w:t>
      </w:r>
      <w:r>
        <w:t xml:space="preserve">(vulnerability + runtime findings). As with the rest of the</w:t>
      </w:r>
      <w:r>
        <w:t xml:space="preserve"> </w:t>
      </w:r>
      <w:r>
        <w:t xml:space="preserve">series’ evidence, none is attestable by a single-tenant conformance scan alone —</w:t>
      </w:r>
      <w:r>
        <w:t xml:space="preserve"> </w:t>
      </w:r>
      <w:r>
        <w:t xml:space="preserve">the evidence is the CNAPP’s cross-account, cross-cloud finding set delivered</w:t>
      </w:r>
      <w:r>
        <w:t xml:space="preserve"> </w:t>
      </w:r>
      <w:r>
        <w:t xml:space="preserve">through the evidence fabric.</w:t>
      </w:r>
    </w:p>
    <w:bookmarkStart w:id="17" w:name="platform-selection-status"/>
    <w:p>
      <w:pPr>
        <w:pStyle w:val="Heading2"/>
      </w:pPr>
      <w:r>
        <w:t xml:space="preserve">7.1 Platform Selection Status</w:t>
      </w:r>
    </w:p>
    <w:p>
      <w:pPr>
        <w:pStyle w:val="FirstParagraph"/>
      </w:pPr>
      <w:r>
        <w:t xml:space="preserve">Per-platform CSPM selection prioritizes what the agency already owns:</w:t>
      </w:r>
      <w:r>
        <w:t xml:space="preserve"> </w:t>
      </w:r>
      <w:r>
        <w:rPr>
          <w:b/>
          <w:bCs/>
        </w:rPr>
        <w:t xml:space="preserve">AWS Config + Security Hub</w:t>
      </w:r>
      <w:r>
        <w:t xml:space="preserve"> </w:t>
      </w:r>
      <w:r>
        <w:t xml:space="preserve">(AWS) and</w:t>
      </w:r>
      <w:r>
        <w:t xml:space="preserve"> </w:t>
      </w:r>
      <w:r>
        <w:rPr>
          <w:b/>
          <w:bCs/>
        </w:rPr>
        <w:t xml:space="preserve">VMware Aria Operations for</w:t>
      </w:r>
      <w:r>
        <w:rPr>
          <w:b/>
          <w:bCs/>
        </w:rPr>
        <w:t xml:space="preserve"> </w:t>
      </w:r>
      <w:r>
        <w:rPr>
          <w:b/>
          <w:bCs/>
        </w:rPr>
        <w:t xml:space="preserve">Compliance</w:t>
      </w:r>
      <w:r>
        <w:t xml:space="preserve"> </w:t>
      </w:r>
      <w:r>
        <w:t xml:space="preserve">(VMware) are the primary posture mechanisms for their platforms</w:t>
      </w:r>
      <w:r>
        <w:t xml:space="preserve"> </w:t>
      </w:r>
      <w:r>
        <w:t xml:space="preserve">today, ahead of routing that evidence through Defender for Cloud’s ingestion.</w:t>
      </w:r>
      <w:r>
        <w:t xml:space="preserve"> </w:t>
      </w:r>
      <w:r>
        <w:rPr>
          <w:b/>
          <w:bCs/>
        </w:rPr>
        <w:t xml:space="preserve">Microsoft Defender for Cloud</w:t>
      </w:r>
      <w:r>
        <w:t xml:space="preserve"> </w:t>
      </w:r>
      <w:r>
        <w:t xml:space="preserve">remains the coordinating default for Azure and</w:t>
      </w:r>
      <w:r>
        <w:t xml:space="preserve"> </w:t>
      </w:r>
      <w:r>
        <w:t xml:space="preserve">GCP, natively at FedRAMP Moderate.</w:t>
      </w:r>
      <w:r>
        <w:t xml:space="preserve"> </w:t>
      </w:r>
      <w:r>
        <w:rPr>
          <w:b/>
          <w:bCs/>
        </w:rPr>
        <w:t xml:space="preserve">Google Assured Workloads</w:t>
      </w:r>
      <w:r>
        <w:t xml:space="preserve"> </w:t>
      </w:r>
      <w:r>
        <w:t xml:space="preserve">and</w:t>
      </w:r>
      <w:r>
        <w:t xml:space="preserve"> </w:t>
      </w:r>
      <w:r>
        <w:rPr>
          <w:b/>
          <w:bCs/>
        </w:rPr>
        <w:t xml:space="preserve">Security</w:t>
      </w:r>
      <w:r>
        <w:rPr>
          <w:b/>
          <w:bCs/>
        </w:rPr>
        <w:t xml:space="preserve"> </w:t>
      </w:r>
      <w:r>
        <w:rPr>
          <w:b/>
          <w:bCs/>
        </w:rPr>
        <w:t xml:space="preserve">Command Center</w:t>
      </w:r>
      <w:r>
        <w:t xml:space="preserve"> </w:t>
      </w:r>
      <w:r>
        <w:t xml:space="preserve">(GCP) and</w:t>
      </w:r>
      <w:r>
        <w:t xml:space="preserve"> </w:t>
      </w:r>
      <w:r>
        <w:rPr>
          <w:b/>
          <w:bCs/>
        </w:rPr>
        <w:t xml:space="preserve">OCI Cloud Guard</w:t>
      </w:r>
      <w:r>
        <w:t xml:space="preserve"> </w:t>
      </w:r>
      <w:r>
        <w:t xml:space="preserve">(OCI) are documented as each</w:t>
      </w:r>
      <w:r>
        <w:t xml:space="preserve"> </w:t>
      </w:r>
      <w:r>
        <w:t xml:space="preserve">platform’s adoption default — the specific mechanism to stand up the day GCP</w:t>
      </w:r>
      <w:r>
        <w:t xml:space="preserve"> </w:t>
      </w:r>
      <w:r>
        <w:t xml:space="preserve">or OCI is actually procured — not a current-ownership claim; today Defender</w:t>
      </w:r>
      <w:r>
        <w:t xml:space="preserve"> </w:t>
      </w:r>
      <w:r>
        <w:t xml:space="preserve">for Cloud covers GCP and OCI/OKE has no native posture mechanism in place.</w:t>
      </w:r>
      <w:r>
        <w:t xml:space="preserve"> </w:t>
      </w:r>
      <w:r>
        <w:t xml:space="preserve">Where a mechanism (owned, preferred, or documented-default) is FedRAMP High</w:t>
      </w:r>
      <w:r>
        <w:t xml:space="preserve"> </w:t>
      </w:r>
      <w:r>
        <w:t xml:space="preserve">rather than Moderate — AWS Config/Security Hub, Security Command Center, OCI</w:t>
      </w:r>
      <w:r>
        <w:t xml:space="preserve"> </w:t>
      </w:r>
      <w:r>
        <w:t xml:space="preserve">Cloud Guard, and the agency-preferred</w:t>
      </w:r>
      <w:r>
        <w:t xml:space="preserve"> </w:t>
      </w:r>
      <w:r>
        <w:rPr>
          <w:b/>
          <w:bCs/>
        </w:rPr>
        <w:t xml:space="preserve">Palo Alto Prisma Cloud</w:t>
      </w:r>
      <w:r>
        <w:t xml:space="preserve"> </w:t>
      </w:r>
      <w:r>
        <w:t xml:space="preserve">/</w:t>
      </w:r>
      <w:r>
        <w:t xml:space="preserve"> </w:t>
      </w:r>
      <w:r>
        <w:rPr>
          <w:b/>
          <w:bCs/>
        </w:rPr>
        <w:t xml:space="preserve">Wiz for Government</w:t>
      </w:r>
      <w:r>
        <w:t xml:space="preserve"> </w:t>
      </w:r>
      <w:r>
        <w:t xml:space="preserve">— the High-covering-Moderate boundary treatment must be</w:t>
      </w:r>
      <w:r>
        <w:t xml:space="preserve"> </w:t>
      </w:r>
      <w:r>
        <w:t xml:space="preserve">documented; this is not a disqualifier under the Moderate-exclusive rule.</w:t>
      </w:r>
      <w:r>
        <w:t xml:space="preserve"> </w:t>
      </w:r>
      <w:r>
        <w:t xml:space="preserve">Verify all authorization claims on the FedRAMP Marketplace at procurement.</w:t>
      </w:r>
    </w:p>
    <w:bookmarkEnd w:id="17"/>
    <w:bookmarkEnd w:id="18"/>
    <w:bookmarkStart w:id="30" w:name="references"/>
    <w:p>
      <w:pPr>
        <w:pStyle w:val="Heading1"/>
      </w:pPr>
      <w:r>
        <w:t xml:space="preserve">8. References</w:t>
      </w:r>
    </w:p>
    <w:p>
      <w:pPr>
        <w:pStyle w:val="TableCaption"/>
      </w:pPr>
      <w:r>
        <w:t xml:space="preserve">Reference Documents and Vendor Sources</w:t>
      </w:r>
    </w:p>
    <w:tbl>
      <w:tblPr>
        <w:tblStyle w:val="Table"/>
        <w:tblW w:type="pct" w:w="5000"/>
        <w:tblLayout w:type="fixed"/>
        <w:tblLook w:firstRow="1" w:lastRow="0" w:firstColumn="0" w:lastColumn="0" w:noHBand="0" w:noVBand="0" w:val="0020"/>
        <w:tblCaption w:val="Reference Documents and Vendor Sources"/>
      </w:tblPr>
      <w:tblGrid>
        <w:gridCol w:w="3960"/>
        <w:gridCol w:w="3960"/>
      </w:tblGrid>
      <w:tr>
        <w:trPr>
          <w:tblHeader w:val="on"/>
        </w:trPr>
        <w:tc>
          <w:tcPr/>
          <w:p>
            <w:pPr>
              <w:pStyle w:val="Compact"/>
            </w:pPr>
            <w:r>
              <w:t xml:space="preserve">Reference</w:t>
            </w:r>
          </w:p>
        </w:tc>
        <w:tc>
          <w:tcPr/>
          <w:p>
            <w:pPr>
              <w:pStyle w:val="Compact"/>
            </w:pPr>
            <w:r>
              <w:t xml:space="preserve">Description</w:t>
            </w:r>
          </w:p>
        </w:tc>
      </w:tr>
      <w:tr>
        <w:tc>
          <w:tcPr/>
          <w:p>
            <w:pPr>
              <w:pStyle w:val="Compact"/>
            </w:pPr>
            <w:r>
              <w:t xml:space="preserve">NIST SP 800-53 Rev 5</w:t>
            </w:r>
          </w:p>
        </w:tc>
        <w:tc>
          <w:tcPr/>
          <w:p>
            <w:pPr>
              <w:pStyle w:val="Compact"/>
            </w:pPr>
            <w:r>
              <w:t xml:space="preserve">CM-6, CM-7, SC-7, RA-5, SA-11, SI-3</w:t>
            </w:r>
          </w:p>
        </w:tc>
      </w:tr>
      <w:tr>
        <w:tc>
          <w:tcPr/>
          <w:p>
            <w:pPr>
              <w:pStyle w:val="Compact"/>
            </w:pPr>
            <w:r>
              <w:t xml:space="preserve">NIST SP 800-207</w:t>
            </w:r>
          </w:p>
        </w:tc>
        <w:tc>
          <w:tcPr/>
          <w:p>
            <w:pPr>
              <w:pStyle w:val="Compact"/>
            </w:pPr>
            <w:r>
              <w:t xml:space="preserve">Zero Trust Architecture (workload exposure)</w:t>
            </w:r>
          </w:p>
        </w:tc>
      </w:tr>
      <w:tr>
        <w:tc>
          <w:tcPr/>
          <w:p>
            <w:pPr>
              <w:pStyle w:val="Compact"/>
            </w:pPr>
            <w:r>
              <w:t xml:space="preserve">NIST SP 800-218</w:t>
            </w:r>
          </w:p>
        </w:tc>
        <w:tc>
          <w:tcPr/>
          <w:p>
            <w:pPr>
              <w:pStyle w:val="Compact"/>
            </w:pPr>
            <w:r>
              <w:t xml:space="preserve">Secure Software Development Framework (shift-left)</w:t>
            </w:r>
          </w:p>
        </w:tc>
      </w:tr>
      <w:tr>
        <w:tc>
          <w:tcPr/>
          <w:p>
            <w:pPr>
              <w:pStyle w:val="Compact"/>
            </w:pPr>
            <w:r>
              <w:t xml:space="preserve">CISA SCuBA</w:t>
            </w:r>
          </w:p>
        </w:tc>
        <w:tc>
          <w:tcPr/>
          <w:p>
            <w:pPr>
              <w:pStyle w:val="Compact"/>
            </w:pPr>
            <w:r>
              <w:t xml:space="preserve">Secure Cloud Business Applications baselines —</w:t>
            </w:r>
            <w:r>
              <w:t xml:space="preserve"> </w:t>
            </w:r>
            <w:hyperlink r:id="rId19">
              <w:r>
                <w:rPr>
                  <w:rStyle w:val="Hyperlink"/>
                </w:rPr>
                <w:t xml:space="preserve">https://www.cisa.gov/scuba</w:t>
              </w:r>
            </w:hyperlink>
          </w:p>
        </w:tc>
      </w:tr>
      <w:tr>
        <w:tc>
          <w:tcPr/>
          <w:p>
            <w:pPr>
              <w:pStyle w:val="Compact"/>
            </w:pPr>
            <w:r>
              <w:t xml:space="preserve">CISA BOD 26-04</w:t>
            </w:r>
          </w:p>
        </w:tc>
        <w:tc>
          <w:tcPr/>
          <w:p>
            <w:pPr>
              <w:pStyle w:val="Compact"/>
            </w:pPr>
            <w:r>
              <w:t xml:space="preserve">Risk-based remediation; KEV listing is one of four variables. Known Exploited Vulnerabilities catalog —</w:t>
            </w:r>
            <w:r>
              <w:t xml:space="preserve"> </w:t>
            </w:r>
            <w:hyperlink r:id="rId20">
              <w:r>
                <w:rPr>
                  <w:rStyle w:val="Hyperlink"/>
                </w:rPr>
                <w:t xml:space="preserve">https://www.cisa.gov/known-exploited-vulnerabilities-catalog</w:t>
              </w:r>
            </w:hyperlink>
          </w:p>
        </w:tc>
      </w:tr>
      <w:tr>
        <w:tc>
          <w:tcPr/>
          <w:p>
            <w:pPr>
              <w:pStyle w:val="Compact"/>
            </w:pPr>
            <w:r>
              <w:t xml:space="preserve">Microsoft Defender for Cloud (multi-cloud CSPM/CWPP)</w:t>
            </w:r>
          </w:p>
        </w:tc>
        <w:tc>
          <w:tcPr/>
          <w:p>
            <w:pPr>
              <w:pStyle w:val="Compact"/>
            </w:pPr>
            <w:hyperlink r:id="rId21">
              <w:r>
                <w:rPr>
                  <w:rStyle w:val="Hyperlink"/>
                </w:rPr>
                <w:t xml:space="preserve">https://learn.microsoft.com/azure/defender-for-cloud/</w:t>
              </w:r>
            </w:hyperlink>
          </w:p>
        </w:tc>
      </w:tr>
      <w:tr>
        <w:tc>
          <w:tcPr/>
          <w:p>
            <w:pPr>
              <w:pStyle w:val="Compact"/>
            </w:pPr>
            <w:r>
              <w:t xml:space="preserve">AWS Config — NIST SP 800-53 Rev 5 conformance pack (AWS, owned)</w:t>
            </w:r>
          </w:p>
        </w:tc>
        <w:tc>
          <w:tcPr/>
          <w:p>
            <w:pPr>
              <w:pStyle w:val="Compact"/>
            </w:pPr>
            <w:hyperlink r:id="rId22">
              <w:r>
                <w:rPr>
                  <w:rStyle w:val="Hyperlink"/>
                </w:rPr>
                <w:t xml:space="preserve">https://docs.aws.amazon.com/config/latest/developerguide/operational-best-practices-for-nist-800-53_rev_5.html</w:t>
              </w:r>
            </w:hyperlink>
          </w:p>
        </w:tc>
      </w:tr>
      <w:tr>
        <w:tc>
          <w:tcPr/>
          <w:p>
            <w:pPr>
              <w:pStyle w:val="Compact"/>
            </w:pPr>
            <w:r>
              <w:t xml:space="preserve">AWS Security Hub (AWS, owned, FedRAMP-authorized above Moderate in AWS GovCloud)</w:t>
            </w:r>
          </w:p>
        </w:tc>
        <w:tc>
          <w:tcPr/>
          <w:p>
            <w:pPr>
              <w:pStyle w:val="Compact"/>
            </w:pPr>
            <w:hyperlink r:id="rId23">
              <w:r>
                <w:rPr>
                  <w:rStyle w:val="Hyperlink"/>
                </w:rPr>
                <w:t xml:space="preserve">https://aws.amazon.com/about-aws/whats-new/2021/04/aws-security-hub-achieves-fedramp-high-authorization-to-enable-security-posture-management-for-high-impact-workloads/</w:t>
              </w:r>
            </w:hyperlink>
          </w:p>
        </w:tc>
      </w:tr>
      <w:tr>
        <w:tc>
          <w:tcPr/>
          <w:p>
            <w:pPr>
              <w:pStyle w:val="Compact"/>
            </w:pPr>
            <w:r>
              <w:t xml:space="preserve">Google Assured Workloads (GCP, adoption default, native FedRAMP Moderate control package)</w:t>
            </w:r>
          </w:p>
        </w:tc>
        <w:tc>
          <w:tcPr/>
          <w:p>
            <w:pPr>
              <w:pStyle w:val="Compact"/>
            </w:pPr>
            <w:hyperlink r:id="rId24">
              <w:r>
                <w:rPr>
                  <w:rStyle w:val="Hyperlink"/>
                </w:rPr>
                <w:t xml:space="preserve">https://cloud.google.com/assured-workloads</w:t>
              </w:r>
            </w:hyperlink>
          </w:p>
        </w:tc>
      </w:tr>
      <w:tr>
        <w:tc>
          <w:tcPr/>
          <w:p>
            <w:pPr>
              <w:pStyle w:val="Compact"/>
            </w:pPr>
            <w:r>
              <w:t xml:space="preserve">Google Security Command Center (GCP, adoption default, FedRAMP-authorized above Moderate)</w:t>
            </w:r>
          </w:p>
        </w:tc>
        <w:tc>
          <w:tcPr/>
          <w:p>
            <w:pPr>
              <w:pStyle w:val="Compact"/>
            </w:pPr>
            <w:hyperlink r:id="rId25">
              <w:r>
                <w:rPr>
                  <w:rStyle w:val="Hyperlink"/>
                </w:rPr>
                <w:t xml:space="preserve">https://cloud.google.com/security-command-center</w:t>
              </w:r>
            </w:hyperlink>
          </w:p>
        </w:tc>
      </w:tr>
      <w:tr>
        <w:tc>
          <w:tcPr/>
          <w:p>
            <w:pPr>
              <w:pStyle w:val="Compact"/>
            </w:pPr>
            <w:r>
              <w:t xml:space="preserve">VMware Aria Operations for Compliance (VMware, owned; vSphere/NSX-T/vSAN STIG benchmark content)</w:t>
            </w:r>
          </w:p>
        </w:tc>
        <w:tc>
          <w:tcPr/>
          <w:p>
            <w:pPr>
              <w:pStyle w:val="Compact"/>
            </w:pPr>
            <w:hyperlink r:id="rId26">
              <w:r>
                <w:rPr>
                  <w:rStyle w:val="Hyperlink"/>
                </w:rPr>
                <w:t xml:space="preserve">https://techdocs.broadcom.com/us/en/vmware-cis/vcf/stig/9-0/vcf-stig-documentation/docs-tutorials-Aria-aria.html</w:t>
              </w:r>
            </w:hyperlink>
          </w:p>
        </w:tc>
      </w:tr>
      <w:tr>
        <w:tc>
          <w:tcPr/>
          <w:p>
            <w:pPr>
              <w:pStyle w:val="Compact"/>
            </w:pPr>
            <w:r>
              <w:t xml:space="preserve">Oracle Cloud Guard (OCI, adoption default, residual-gap closer, FedRAMP-authorized above Moderate / DISA IL5)</w:t>
            </w:r>
          </w:p>
        </w:tc>
        <w:tc>
          <w:tcPr/>
          <w:p>
            <w:pPr>
              <w:pStyle w:val="Compact"/>
            </w:pPr>
            <w:hyperlink r:id="rId27">
              <w:r>
                <w:rPr>
                  <w:rStyle w:val="Hyperlink"/>
                </w:rPr>
                <w:t xml:space="preserve">https://www.oracle.com/security/cloud-security/cloud-guard/</w:t>
              </w:r>
            </w:hyperlink>
          </w:p>
        </w:tc>
      </w:tr>
      <w:tr>
        <w:tc>
          <w:tcPr/>
          <w:p>
            <w:pPr>
              <w:pStyle w:val="Compact"/>
            </w:pPr>
            <w:r>
              <w:t xml:space="preserve">Palo Alto Prisma Cloud (CNAPP, FedRAMP High)</w:t>
            </w:r>
          </w:p>
        </w:tc>
        <w:tc>
          <w:tcPr/>
          <w:p>
            <w:pPr>
              <w:pStyle w:val="Compact"/>
            </w:pPr>
            <w:hyperlink r:id="rId28">
              <w:r>
                <w:rPr>
                  <w:rStyle w:val="Hyperlink"/>
                </w:rPr>
                <w:t xml:space="preserve">https://www.paloaltonetworks.com/blog/prisma-cloud/fedramp-high-impact-ready/</w:t>
              </w:r>
            </w:hyperlink>
          </w:p>
        </w:tc>
      </w:tr>
      <w:tr>
        <w:tc>
          <w:tcPr/>
          <w:p>
            <w:pPr>
              <w:pStyle w:val="Compact"/>
            </w:pPr>
            <w:r>
              <w:t xml:space="preserve">Wiz for Government (CNAPP, FedRAMP High)</w:t>
            </w:r>
          </w:p>
        </w:tc>
        <w:tc>
          <w:tcPr/>
          <w:p>
            <w:pPr>
              <w:pStyle w:val="Compact"/>
            </w:pPr>
            <w:hyperlink r:id="rId29">
              <w:r>
                <w:rPr>
                  <w:rStyle w:val="Hyperlink"/>
                </w:rPr>
                <w:t xml:space="preserve">https://www.wiz.io/blog/wiz-achieves-fedramp-high-authorization</w:t>
              </w:r>
            </w:hyperlink>
          </w:p>
        </w:tc>
      </w:tr>
    </w:tbl>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3" Target="https://aws.amazon.com/about-aws/whats-new/2021/04/aws-security-hub-achieves-fedramp-high-authorization-to-enable-security-posture-management-for-high-impact-workloads/" TargetMode="External" /><Relationship Type="http://schemas.openxmlformats.org/officeDocument/2006/relationships/hyperlink" Id="rId24" Target="https://cloud.google.com/assured-workloads" TargetMode="External" /><Relationship Type="http://schemas.openxmlformats.org/officeDocument/2006/relationships/hyperlink" Id="rId25" Target="https://cloud.google.com/security-command-center" TargetMode="External" /><Relationship Type="http://schemas.openxmlformats.org/officeDocument/2006/relationships/hyperlink" Id="rId22" Target="https://docs.aws.amazon.com/config/latest/developerguide/operational-best-practices-for-nist-800-53_rev_5.html" TargetMode="External" /><Relationship Type="http://schemas.openxmlformats.org/officeDocument/2006/relationships/hyperlink" Id="rId21" Target="https://learn.microsoft.com/azure/defender-for-cloud/" TargetMode="External" /><Relationship Type="http://schemas.openxmlformats.org/officeDocument/2006/relationships/hyperlink" Id="rId26" Target="https://techdocs.broadcom.com/us/en/vmware-cis/vcf/stig/9-0/vcf-stig-documentation/docs-tutorials-Aria-aria.html" TargetMode="External" /><Relationship Type="http://schemas.openxmlformats.org/officeDocument/2006/relationships/hyperlink" Id="rId20" Target="https://www.cisa.gov/known-exploited-vulnerabilities-catalog" TargetMode="External" /><Relationship Type="http://schemas.openxmlformats.org/officeDocument/2006/relationships/hyperlink" Id="rId19" Target="https://www.cisa.gov/scuba" TargetMode="External" /><Relationship Type="http://schemas.openxmlformats.org/officeDocument/2006/relationships/hyperlink" Id="rId27" Target="https://www.oracle.com/security/cloud-security/cloud-guard/" TargetMode="External" /><Relationship Type="http://schemas.openxmlformats.org/officeDocument/2006/relationships/hyperlink" Id="rId28" Target="https://www.paloaltonetworks.com/blog/prisma-cloud/fedramp-high-impact-ready/" TargetMode="External" /><Relationship Type="http://schemas.openxmlformats.org/officeDocument/2006/relationships/hyperlink" Id="rId29" Target="https://www.wiz.io/blog/wiz-achieves-fedramp-high-authorization" TargetMode="External" /></Relationships>
</file>

<file path=word/_rels/footnotes.xml.rels><?xml version="1.0" encoding="UTF-8"?><Relationships xmlns="http://schemas.openxmlformats.org/package/2006/relationships"><Relationship Type="http://schemas.openxmlformats.org/officeDocument/2006/relationships/hyperlink" Id="rId23" Target="https://aws.amazon.com/about-aws/whats-new/2021/04/aws-security-hub-achieves-fedramp-high-authorization-to-enable-security-posture-management-for-high-impact-workloads/" TargetMode="External" /><Relationship Type="http://schemas.openxmlformats.org/officeDocument/2006/relationships/hyperlink" Id="rId24" Target="https://cloud.google.com/assured-workloads" TargetMode="External" /><Relationship Type="http://schemas.openxmlformats.org/officeDocument/2006/relationships/hyperlink" Id="rId25" Target="https://cloud.google.com/security-command-center" TargetMode="External" /><Relationship Type="http://schemas.openxmlformats.org/officeDocument/2006/relationships/hyperlink" Id="rId22" Target="https://docs.aws.amazon.com/config/latest/developerguide/operational-best-practices-for-nist-800-53_rev_5.html" TargetMode="External" /><Relationship Type="http://schemas.openxmlformats.org/officeDocument/2006/relationships/hyperlink" Id="rId21" Target="https://learn.microsoft.com/azure/defender-for-cloud/" TargetMode="External" /><Relationship Type="http://schemas.openxmlformats.org/officeDocument/2006/relationships/hyperlink" Id="rId26" Target="https://techdocs.broadcom.com/us/en/vmware-cis/vcf/stig/9-0/vcf-stig-documentation/docs-tutorials-Aria-aria.html" TargetMode="External" /><Relationship Type="http://schemas.openxmlformats.org/officeDocument/2006/relationships/hyperlink" Id="rId20" Target="https://www.cisa.gov/known-exploited-vulnerabilities-catalog" TargetMode="External" /><Relationship Type="http://schemas.openxmlformats.org/officeDocument/2006/relationships/hyperlink" Id="rId19" Target="https://www.cisa.gov/scuba" TargetMode="External" /><Relationship Type="http://schemas.openxmlformats.org/officeDocument/2006/relationships/hyperlink" Id="rId27" Target="https://www.oracle.com/security/cloud-security/cloud-guard/" TargetMode="External" /><Relationship Type="http://schemas.openxmlformats.org/officeDocument/2006/relationships/hyperlink" Id="rId28" Target="https://www.paloaltonetworks.com/blog/prisma-cloud/fedramp-high-impact-ready/" TargetMode="External" /><Relationship Type="http://schemas.openxmlformats.org/officeDocument/2006/relationships/hyperlink" Id="rId29" Target="https://www.wiz.io/blog/wiz-achieves-fedramp-high-authoriza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III Book 04 — Federal Compliance — Cloud-Native Security Posture &amp; Containers</dc:title>
  <dc:creator>Federal Cloud Services</dc:creator>
  <cp:keywords/>
  <dcterms:created xsi:type="dcterms:W3CDTF">2026-10-19T10:09:49Z</dcterms:created>
  <dcterms:modified xsi:type="dcterms:W3CDTF">2026-10-19T10:09:49Z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2026-07-09 12:41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CSPM, CNAPP, and Kubernetes — Closing the Misconfiguration, Exposure, and Runtime Gaps Host Scanning Misses</vt:lpwstr>
  </property>
  <property fmtid="{D5CDD505-2E9C-101B-9397-08002B2CF9AE}" pid="16" name="toc-title">
    <vt:lpwstr>Table of contents</vt:lpwstr>
  </property>
</Properties>
</file>