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III Book 07 — Federal Compliance — Multi-Cloud Evidence Fabric: One Compliance Picture from Many Stacks</w:t>
      </w:r>
    </w:p>
    <w:p>
      <w:pPr>
        <w:pStyle w:val="Subtitle"/>
      </w:pPr>
      <w:r>
        <w:t xml:space="preserve">The Unified Evidence Contract — Telemetry → CDM → FedRAMP 20x KSIs Across Every CSP, NEM, and OS</w:t>
      </w:r>
    </w:p>
    <w:p>
      <w:pPr>
        <w:pStyle w:val="Author"/>
      </w:pPr>
      <w:r>
        <w:t xml:space="preserve">Federal Cloud Services</w:t>
      </w:r>
    </w:p>
    <w:p>
      <w:pPr>
        <w:pStyle w:val="Date"/>
      </w:pPr>
      <w:r>
        <w:t xml:space="preserve">2026-07-09 12:41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9"/>
    <w:p>
      <w:pPr>
        <w:pStyle w:val="BodyText"/>
      </w:pPr>
      <w:r>
        <w:rPr>
          <w:b/>
          <w:bCs/>
        </w:rPr>
        <w:t xml:space="preserve">Provisional position.</w:t>
      </w:r>
      <w:r>
        <w:t xml:space="preserve"> </w:t>
      </w:r>
      <w:r>
        <w:t xml:space="preserve">This book was drafted at temporary series slot 23; its</w:t>
      </w:r>
      <w:r>
        <w:t xml:space="preserve"> </w:t>
      </w:r>
      <w:r>
        <w:t xml:space="preserve">intended home is</w:t>
      </w:r>
      <w:r>
        <w:t xml:space="preserve"> </w:t>
      </w:r>
      <w:r>
        <w:rPr>
          <w:b/>
          <w:bCs/>
        </w:rPr>
        <w:t xml:space="preserve">Volume III (Security Operations)</w:t>
      </w:r>
      <w:r>
        <w:t xml:space="preserve">, after the SIEM/XDR book.</w:t>
      </w:r>
      <w:r>
        <w:t xml:space="preserve"> </w:t>
      </w:r>
      <w:r>
        <w:t xml:space="preserve">Cross-references name other books by</w:t>
      </w:r>
      <w:r>
        <w:t xml:space="preserve"> </w:t>
      </w:r>
      <w:r>
        <w:rPr>
          <w:b/>
          <w:bCs/>
        </w:rPr>
        <w:t xml:space="preserve">title and role</w:t>
      </w:r>
      <w:r>
        <w:t xml:space="preserve">, not number, so the</w:t>
      </w:r>
      <w:r>
        <w:t xml:space="preserve"> </w:t>
      </w:r>
      <w:r>
        <w:t xml:space="preserve">series-wide renumber does not break them.</w:t>
      </w:r>
    </w:p>
    <w:p>
      <w:pPr>
        <w:pStyle w:val="BodyText"/>
      </w:pPr>
      <w:r>
        <w:rPr>
          <w:b/>
          <w:bCs/>
        </w:rPr>
        <w:t xml:space="preserve">Series Context</w:t>
      </w:r>
      <w:r>
        <w:t xml:space="preserve"> </w:t>
      </w:r>
      <w:r>
        <w:t xml:space="preserve">— The Management-Plane Coordination Doctrine (Executive</w:t>
      </w:r>
      <w:r>
        <w:t xml:space="preserve"> </w:t>
      </w:r>
      <w:r>
        <w:t xml:space="preserve">Summary) splits the management plane in two: actuation is platform-native;</w:t>
      </w:r>
      <w:r>
        <w:t xml:space="preserve"> </w:t>
      </w:r>
      <w:r>
        <w:t xml:space="preserve">governance is unified. This book is the</w:t>
      </w:r>
      <w:r>
        <w:t xml:space="preserve"> </w:t>
      </w:r>
      <w:r>
        <w:rPr>
          <w:b/>
          <w:bCs/>
        </w:rPr>
        <w:t xml:space="preserve">unified-governance half made real</w:t>
      </w:r>
      <w:r>
        <w:t xml:space="preserve"> </w:t>
      </w:r>
      <w:r>
        <w:t xml:space="preserve">—</w:t>
      </w:r>
      <w:r>
        <w:t xml:space="preserve"> </w:t>
      </w:r>
      <w:r>
        <w:t xml:space="preserve">the evidence fabric where every native stack (Microsoft, AWS, Oracle, VMware,</w:t>
      </w:r>
      <w:r>
        <w:t xml:space="preserve"> </w:t>
      </w:r>
      <w:r>
        <w:t xml:space="preserve">Red Hat), every network appliance (Cisco / Palo Alto / Juniper), and every OS</w:t>
      </w:r>
      <w:r>
        <w:t xml:space="preserve"> </w:t>
      </w:r>
      <w:r>
        <w:t xml:space="preserve">agent emits the</w:t>
      </w:r>
      <w:r>
        <w:t xml:space="preserve"> </w:t>
      </w:r>
      <w:r>
        <w:rPr>
          <w:b/>
          <w:bCs/>
        </w:rPr>
        <w:t xml:space="preserve">same machine-readable record</w:t>
      </w:r>
      <w:r>
        <w:t xml:space="preserve"> </w:t>
      </w:r>
      <w:r>
        <w:t xml:space="preserve">into one lake, correlated on</w:t>
      </w:r>
      <w:r>
        <w:t xml:space="preserve"> </w:t>
      </w:r>
      <w:r>
        <w:t xml:space="preserve">one authoritative asset identity, and delivered up to</w:t>
      </w:r>
      <w:r>
        <w:t xml:space="preserve"> </w:t>
      </w:r>
      <w:r>
        <w:rPr>
          <w:b/>
          <w:bCs/>
        </w:rPr>
        <w:t xml:space="preserve">CISA CDM</w:t>
      </w:r>
      <w:r>
        <w:t xml:space="preserve"> </w:t>
      </w:r>
      <w:r>
        <w:t xml:space="preserve">and the</w:t>
      </w:r>
      <w:r>
        <w:t xml:space="preserve"> </w:t>
      </w:r>
      <w:r>
        <w:t xml:space="preserve">FedRAMP 20x KSI pipeline. It is a truth-plane function (plane 6): the fabric is</w:t>
      </w:r>
      <w:r>
        <w:t xml:space="preserve"> </w:t>
      </w:r>
      <w:r>
        <w:t xml:space="preserve">depended on, not re-platformed.</w:t>
      </w:r>
    </w:p>
    <w:bookmarkStart w:id="11" w:name="what-this-document-addresses"/>
    <w:p>
      <w:pPr>
        <w:pStyle w:val="Heading1"/>
      </w:pPr>
      <w:r>
        <w:t xml:space="preserve">1. What This Document Addresses</w:t>
      </w:r>
    </w:p>
    <w:p>
      <w:pPr>
        <w:pStyle w:val="FirstParagraph"/>
      </w:pPr>
      <w:r>
        <w:t xml:space="preserve">A multi-cloud federal agency runs five or more management stacks, and each one</w:t>
      </w:r>
      <w:r>
        <w:t xml:space="preserve"> </w:t>
      </w:r>
      <w:r>
        <w:t xml:space="preserve">produces its own telemetry in its own schema: Azure Update Manager reports</w:t>
      </w:r>
      <w:r>
        <w:t xml:space="preserve"> </w:t>
      </w:r>
      <w:r>
        <w:t xml:space="preserve">patch state one way, AWS Systems Manager another, vSphere Lifecycle Manager a</w:t>
      </w:r>
      <w:r>
        <w:t xml:space="preserve"> </w:t>
      </w:r>
      <w:r>
        <w:t xml:space="preserve">third, a Palo Alto firewall a fourth, a Red Hat host a fifth. Five stacks, five</w:t>
      </w:r>
      <w:r>
        <w:t xml:space="preserve"> </w:t>
      </w:r>
      <w:r>
        <w:t xml:space="preserve">inventories, five log formats. An assessor who asks</w:t>
      </w:r>
      <w:r>
        <w:t xml:space="preserve"> </w:t>
      </w:r>
      <w:r>
        <w:t xml:space="preserve">“is CVE-X remediated across</w:t>
      </w:r>
      <w:r>
        <w:t xml:space="preserve"> </w:t>
      </w:r>
      <w:r>
        <w:t xml:space="preserve">the whole estate, and prove it”</w:t>
      </w:r>
      <w:r>
        <w:t xml:space="preserve"> </w:t>
      </w:r>
      <w:r>
        <w:t xml:space="preserve">cannot be answered by five partial views that</w:t>
      </w:r>
      <w:r>
        <w:t xml:space="preserve"> </w:t>
      </w:r>
      <w:r>
        <w:t xml:space="preserve">do not reconcile.</w:t>
      </w:r>
    </w:p>
    <w:p>
      <w:pPr>
        <w:pStyle w:val="BodyText"/>
      </w:pPr>
      <w:r>
        <w:t xml:space="preserve">The</w:t>
      </w:r>
      <w:r>
        <w:t xml:space="preserve"> </w:t>
      </w:r>
      <w:r>
        <w:rPr>
          <w:b/>
          <w:bCs/>
        </w:rPr>
        <w:t xml:space="preserve">evidence fabric</w:t>
      </w:r>
      <w:r>
        <w:t xml:space="preserve"> </w:t>
      </w:r>
      <w:r>
        <w:t xml:space="preserve">is the answer: a single, normalized</w:t>
      </w:r>
      <w:r>
        <w:t xml:space="preserve"> </w:t>
      </w:r>
      <w:r>
        <w:rPr>
          <w:b/>
          <w:bCs/>
        </w:rPr>
        <w:t xml:space="preserve">evidence contract</w:t>
      </w:r>
      <w:r>
        <w:t xml:space="preserve"> </w:t>
      </w:r>
      <w:r>
        <w:t xml:space="preserve">that every source emits into one lake,</w:t>
      </w:r>
      <w:r>
        <w:t xml:space="preserve"> </w:t>
      </w:r>
      <w:r>
        <w:rPr>
          <w:b/>
          <w:bCs/>
        </w:rPr>
        <w:t xml:space="preserve">correlated on one authoritative asset</w:t>
      </w:r>
      <w:r>
        <w:rPr>
          <w:b/>
          <w:bCs/>
        </w:rPr>
        <w:t xml:space="preserve"> </w:t>
      </w:r>
      <w:r>
        <w:rPr>
          <w:b/>
          <w:bCs/>
        </w:rPr>
        <w:t xml:space="preserve">identity</w:t>
      </w:r>
      <w:r>
        <w:t xml:space="preserve">, and delivered to the two consumers a federal agency owes —</w:t>
      </w:r>
      <w:r>
        <w:t xml:space="preserve"> </w:t>
      </w:r>
      <w:r>
        <w:rPr>
          <w:b/>
          <w:bCs/>
        </w:rPr>
        <w:t xml:space="preserve">CISA</w:t>
      </w:r>
      <w:r>
        <w:rPr>
          <w:b/>
          <w:bCs/>
        </w:rPr>
        <w:t xml:space="preserve"> </w:t>
      </w:r>
      <w:r>
        <w:rPr>
          <w:b/>
          <w:bCs/>
        </w:rPr>
        <w:t xml:space="preserve">CDM</w:t>
      </w:r>
      <w:r>
        <w:t xml:space="preserve"> </w:t>
      </w:r>
      <w:r>
        <w:t xml:space="preserve">(enterprise asset/vulnerability/configuration visibility) and the</w:t>
      </w:r>
      <w:r>
        <w:t xml:space="preserve"> </w:t>
      </w:r>
      <w:r>
        <w:rPr>
          <w:b/>
          <w:bCs/>
        </w:rPr>
        <w:t xml:space="preserve">FedRAMP 20x KSI</w:t>
      </w:r>
      <w:r>
        <w:t xml:space="preserve"> </w:t>
      </w:r>
      <w:r>
        <w:t xml:space="preserve">evidence pipeline. This book defines that contract, names</w:t>
      </w:r>
      <w:r>
        <w:t xml:space="preserve"> </w:t>
      </w:r>
      <w:r>
        <w:t xml:space="preserve">its FedRAMP-Moderate realizations, and closes the AU/CA/SI controls of the</w:t>
      </w:r>
      <w:r>
        <w:t xml:space="preserve"> </w:t>
      </w:r>
      <w:r>
        <w:t xml:space="preserve">telemetry slot — two of which (AU-3 and AU-12(1)) only a cross-surface fabric</w:t>
      </w:r>
      <w:r>
        <w:t xml:space="preserve"> </w:t>
      </w:r>
      <w:r>
        <w:t xml:space="preserve">can close.</w:t>
      </w:r>
    </w:p>
    <w:bookmarkStart w:id="10" w:name="X64dd34d1ebb66febe38645181076aa089b96c49"/>
    <w:p>
      <w:pPr>
        <w:pStyle w:val="Heading2"/>
      </w:pPr>
      <w:r>
        <w:t xml:space="preserve">1.1 What this book is</w:t>
      </w:r>
      <w:r>
        <w:t xml:space="preserve"> </w:t>
      </w:r>
      <w:r>
        <w:rPr>
          <w:i/>
          <w:iCs/>
        </w:rPr>
        <w:t xml:space="preserve">not</w:t>
      </w:r>
      <w:r>
        <w:t xml:space="preserve"> </w:t>
      </w:r>
      <w:r>
        <w:t xml:space="preserve">— the boundary with the SIEM/XDR and ConMon books</w:t>
      </w:r>
    </w:p>
    <w:p>
      <w:pPr>
        <w:pStyle w:val="FirstParagraph"/>
      </w:pPr>
      <w:r>
        <w:t xml:space="preserve">This is not the detection-engineering book. The</w:t>
      </w:r>
      <w:r>
        <w:t xml:space="preserve"> </w:t>
      </w:r>
      <w:r>
        <w:rPr>
          <w:b/>
          <w:bCs/>
        </w:rPr>
        <w:t xml:space="preserve">SIEM / XDR Detection</w:t>
      </w:r>
      <w:r>
        <w:t xml:space="preserve"> </w:t>
      </w:r>
      <w:r>
        <w:t xml:space="preserve">book</w:t>
      </w:r>
      <w:r>
        <w:t xml:space="preserve"> </w:t>
      </w:r>
      <w:r>
        <w:t xml:space="preserve">owns</w:t>
      </w:r>
      <w:r>
        <w:t xml:space="preserve"> </w:t>
      </w:r>
      <w:r>
        <w:rPr>
          <w:i/>
          <w:iCs/>
        </w:rPr>
        <w:t xml:space="preserve">analytics and response</w:t>
      </w:r>
      <w:r>
        <w:t xml:space="preserve"> </w:t>
      </w:r>
      <w:r>
        <w:t xml:space="preserve">— KQL/correlation rules, UEBA, playbooks — the</w:t>
      </w:r>
      <w:r>
        <w:t xml:space="preserve"> </w:t>
      </w:r>
      <w:r>
        <w:t xml:space="preserve">logic that finds a threat in the data. This book owns the layer</w:t>
      </w:r>
      <w:r>
        <w:t xml:space="preserve"> </w:t>
      </w:r>
      <w:r>
        <w:rPr>
          <w:i/>
          <w:iCs/>
        </w:rPr>
        <w:t xml:space="preserve">beneath</w:t>
      </w:r>
      <w:r>
        <w:t xml:space="preserve"> </w:t>
      </w:r>
      <w:r>
        <w:t xml:space="preserve">that:</w:t>
      </w:r>
      <w:r>
        <w:t xml:space="preserve"> </w:t>
      </w:r>
      <w:r>
        <w:rPr>
          <w:b/>
          <w:bCs/>
        </w:rPr>
        <w:t xml:space="preserve">getting every source’s data into one normalized, correlated contract in the</w:t>
      </w:r>
      <w:r>
        <w:rPr>
          <w:b/>
          <w:bCs/>
        </w:rPr>
        <w:t xml:space="preserve"> </w:t>
      </w:r>
      <w:r>
        <w:rPr>
          <w:b/>
          <w:bCs/>
        </w:rPr>
        <w:t xml:space="preserve">first place.</w:t>
      </w:r>
      <w:r>
        <w:t xml:space="preserve"> </w:t>
      </w:r>
      <w:r>
        <w:t xml:space="preserve">And it is not the authorization book: the</w:t>
      </w:r>
      <w:r>
        <w:t xml:space="preserve"> </w:t>
      </w:r>
      <w:r>
        <w:rPr>
          <w:b/>
          <w:bCs/>
        </w:rPr>
        <w:t xml:space="preserve">Authorization Package</w:t>
      </w:r>
      <w:r>
        <w:rPr>
          <w:b/>
          <w:bCs/>
        </w:rPr>
        <w:t xml:space="preserve"> </w:t>
      </w:r>
      <w:r>
        <w:rPr>
          <w:b/>
          <w:bCs/>
        </w:rPr>
        <w:t xml:space="preserve">&amp; ConMon</w:t>
      </w:r>
      <w:r>
        <w:t xml:space="preserve"> </w:t>
      </w:r>
      <w:r>
        <w:t xml:space="preserve">book assembles the OSCAL AP/AR/POA&amp;M bundle</w:t>
      </w:r>
      <w:r>
        <w:t xml:space="preserve"> </w:t>
      </w:r>
      <w:r>
        <w:rPr>
          <w:i/>
          <w:iCs/>
        </w:rPr>
        <w:t xml:space="preserve">from</w:t>
      </w:r>
      <w:r>
        <w:t xml:space="preserve"> </w:t>
      </w:r>
      <w:r>
        <w:t xml:space="preserve">the fabric’s</w:t>
      </w:r>
      <w:r>
        <w:t xml:space="preserve"> </w:t>
      </w:r>
      <w:r>
        <w:t xml:space="preserve">output. The fabric is upstream of both — detection analyzes it, the OSCAL bundle</w:t>
      </w:r>
      <w:r>
        <w:t xml:space="preserve"> </w:t>
      </w:r>
      <w:r>
        <w:t xml:space="preserve">attests it.</w:t>
      </w:r>
    </w:p>
    <w:bookmarkEnd w:id="10"/>
    <w:bookmarkEnd w:id="11"/>
    <w:bookmarkStart w:id="12" w:name="Xd182ad8cb28a31c12909d128938ba988ecf23ab"/>
    <w:p>
      <w:pPr>
        <w:pStyle w:val="Heading1"/>
      </w:pPr>
      <w:r>
        <w:t xml:space="preserve">2. The Evidence Contract — the Coordination Mechanism (AU-3)</w:t>
      </w:r>
    </w:p>
    <w:p>
      <w:pPr>
        <w:pStyle w:val="FirstParagraph"/>
      </w:pPr>
      <w:r>
        <w:t xml:space="preserve">Coordination across heterogeneous stacks is not a console; it is a</w:t>
      </w:r>
      <w:r>
        <w:t xml:space="preserve"> </w:t>
      </w:r>
      <w:r>
        <w:rPr>
          <w:b/>
          <w:bCs/>
        </w:rPr>
        <w:t xml:space="preserve">contract</w:t>
      </w:r>
      <w:r>
        <w:t xml:space="preserve">.</w:t>
      </w:r>
      <w:r>
        <w:t xml:space="preserve"> </w:t>
      </w:r>
      <w:r>
        <w:t xml:space="preserve">Every source — a CSP patch stack, a NEM appliance, an OS agent — must emit a</w:t>
      </w:r>
      <w:r>
        <w:t xml:space="preserve"> </w:t>
      </w:r>
      <w:r>
        <w:t xml:space="preserve">record with the same fields, regardless of what produced 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Meaning</w:t>
            </w:r>
          </w:p>
        </w:tc>
      </w:tr>
      <w:tr>
        <w:tc>
          <w:tcPr/>
          <w:p>
            <w:pPr>
              <w:pStyle w:val="Compact"/>
            </w:pPr>
            <w:r>
              <w:rPr>
                <w:rStyle w:val="VerbatimChar"/>
              </w:rPr>
              <w:t xml:space="preserve">asset_id</w:t>
            </w:r>
          </w:p>
        </w:tc>
        <w:tc>
          <w:tcPr/>
          <w:p>
            <w:pPr>
              <w:pStyle w:val="Compact"/>
            </w:pPr>
            <w:r>
              <w:rPr>
                <w:b/>
                <w:bCs/>
              </w:rPr>
              <w:t xml:space="preserve">Authoritative name/address from the naming plane (IPAM/DDI)</w:t>
            </w:r>
            <w:r>
              <w:t xml:space="preserve"> </w:t>
            </w:r>
            <w:r>
              <w:t xml:space="preserve">— the join key</w:t>
            </w:r>
          </w:p>
        </w:tc>
      </w:tr>
      <w:tr>
        <w:tc>
          <w:tcPr/>
          <w:p>
            <w:pPr>
              <w:pStyle w:val="Compact"/>
            </w:pPr>
            <w:r>
              <w:rPr>
                <w:rStyle w:val="VerbatimChar"/>
              </w:rPr>
              <w:t xml:space="preserve">source</w:t>
            </w:r>
          </w:p>
        </w:tc>
        <w:tc>
          <w:tcPr/>
          <w:p>
            <w:pPr>
              <w:pStyle w:val="Compact"/>
            </w:pPr>
            <w:r>
              <w:t xml:space="preserve">Which stack/appliance/agent produced the record</w:t>
            </w:r>
          </w:p>
        </w:tc>
      </w:tr>
      <w:tr>
        <w:tc>
          <w:tcPr/>
          <w:p>
            <w:pPr>
              <w:pStyle w:val="Compact"/>
            </w:pPr>
            <w:r>
              <w:rPr>
                <w:rStyle w:val="VerbatimChar"/>
              </w:rPr>
              <w:t xml:space="preserve">surface</w:t>
            </w:r>
          </w:p>
        </w:tc>
        <w:tc>
          <w:tcPr/>
          <w:p>
            <w:pPr>
              <w:pStyle w:val="Compact"/>
            </w:pPr>
            <w:r>
              <w:t xml:space="preserve">CSP / NEM / OS</w:t>
            </w:r>
          </w:p>
        </w:tc>
      </w:tr>
      <w:tr>
        <w:tc>
          <w:tcPr/>
          <w:p>
            <w:pPr>
              <w:pStyle w:val="Compact"/>
            </w:pPr>
            <w:r>
              <w:rPr>
                <w:rStyle w:val="VerbatimChar"/>
              </w:rPr>
              <w:t xml:space="preserve">control</w:t>
            </w:r>
          </w:p>
        </w:tc>
        <w:tc>
          <w:tcPr/>
          <w:p>
            <w:pPr>
              <w:pStyle w:val="Compact"/>
            </w:pPr>
            <w:r>
              <w:t xml:space="preserve">The NIST control the record is evidence for (e.g., SI-2, SC-8, CM-6)</w:t>
            </w:r>
          </w:p>
        </w:tc>
      </w:tr>
      <w:tr>
        <w:tc>
          <w:tcPr/>
          <w:p>
            <w:pPr>
              <w:pStyle w:val="Compact"/>
            </w:pPr>
            <w:r>
              <w:rPr>
                <w:rStyle w:val="VerbatimChar"/>
              </w:rPr>
              <w:t xml:space="preserve">state</w:t>
            </w:r>
          </w:p>
        </w:tc>
        <w:tc>
          <w:tcPr/>
          <w:p>
            <w:pPr>
              <w:pStyle w:val="Compact"/>
            </w:pPr>
            <w:r>
              <w:t xml:space="preserve">The measured value (patch level, baseline conformance, cipher, posture)</w:t>
            </w:r>
          </w:p>
        </w:tc>
      </w:tr>
      <w:tr>
        <w:tc>
          <w:tcPr/>
          <w:p>
            <w:pPr>
              <w:pStyle w:val="Compact"/>
            </w:pPr>
            <w:r>
              <w:rPr>
                <w:rStyle w:val="VerbatimChar"/>
              </w:rPr>
              <w:t xml:space="preserve">verdict</w:t>
            </w:r>
          </w:p>
        </w:tc>
        <w:tc>
          <w:tcPr/>
          <w:p>
            <w:pPr>
              <w:pStyle w:val="Compact"/>
            </w:pPr>
            <w:r>
              <w:t xml:space="preserve">pass / warn / fail against the intended state</w:t>
            </w:r>
          </w:p>
        </w:tc>
      </w:tr>
      <w:tr>
        <w:tc>
          <w:tcPr/>
          <w:p>
            <w:pPr>
              <w:pStyle w:val="Compact"/>
            </w:pPr>
            <w:r>
              <w:rPr>
                <w:rStyle w:val="VerbatimChar"/>
              </w:rPr>
              <w:t xml:space="preserve">observed_at</w:t>
            </w:r>
          </w:p>
        </w:tc>
        <w:tc>
          <w:tcPr/>
          <w:p>
            <w:pPr>
              <w:pStyle w:val="Compact"/>
            </w:pPr>
            <w:r>
              <w:t xml:space="preserve">Timestamp (for time-correlation)</w:t>
            </w:r>
          </w:p>
        </w:tc>
      </w:tr>
      <w:tr>
        <w:tc>
          <w:tcPr/>
          <w:p>
            <w:pPr>
              <w:pStyle w:val="Compact"/>
            </w:pPr>
            <w:r>
              <w:rPr>
                <w:rStyle w:val="VerbatimChar"/>
              </w:rPr>
              <w:t xml:space="preserve">disposition</w:t>
            </w:r>
          </w:p>
        </w:tc>
        <w:tc>
          <w:tcPr/>
          <w:p>
            <w:pPr>
              <w:pStyle w:val="Compact"/>
            </w:pPr>
            <w:r>
              <w:t xml:space="preserve">Applied / accepted-risk (POA&amp;M ref) / open</w:t>
            </w:r>
          </w:p>
        </w:tc>
      </w:tr>
    </w:tbl>
    <w:p>
      <w:pPr>
        <w:pStyle w:val="BodyText"/>
      </w:pPr>
      <w:r>
        <w:t xml:space="preserve">This is</w:t>
      </w:r>
      <w:r>
        <w:t xml:space="preserve"> </w:t>
      </w:r>
      <w:r>
        <w:rPr>
          <w:b/>
          <w:bCs/>
        </w:rPr>
        <w:t xml:space="preserve">AU-3 (Content of Audit Records)</w:t>
      </w:r>
      <w:r>
        <w:t xml:space="preserve"> </w:t>
      </w:r>
      <w:r>
        <w:t xml:space="preserve">raised to a cross-surface contract:</w:t>
      </w:r>
      <w:r>
        <w:t xml:space="preserve"> </w:t>
      </w:r>
      <w:r>
        <w:t xml:space="preserve">the record’s</w:t>
      </w:r>
      <w:r>
        <w:t xml:space="preserve"> </w:t>
      </w:r>
      <w:r>
        <w:rPr>
          <w:i/>
          <w:iCs/>
        </w:rPr>
        <w:t xml:space="preserve">content</w:t>
      </w:r>
      <w:r>
        <w:t xml:space="preserve"> </w:t>
      </w:r>
      <w:r>
        <w:t xml:space="preserve">is standardized so records from any source are</w:t>
      </w:r>
      <w:r>
        <w:t xml:space="preserve"> </w:t>
      </w:r>
      <w:r>
        <w:t xml:space="preserve">comparable, joinable, and rollup-able. It is a</w:t>
      </w:r>
      <w:r>
        <w:t xml:space="preserve"> </w:t>
      </w:r>
      <w:r>
        <w:rPr>
          <w:b/>
          <w:bCs/>
        </w:rPr>
        <w:t xml:space="preserve">Closure Necessity</w:t>
      </w:r>
      <w:r>
        <w:t xml:space="preserve"> </w:t>
      </w:r>
      <w:r>
        <w:t xml:space="preserve">— without a</w:t>
      </w:r>
      <w:r>
        <w:t xml:space="preserve"> </w:t>
      </w:r>
      <w:r>
        <w:t xml:space="preserve">common contract, the five stacks cannot produce one compliance picture, and no</w:t>
      </w:r>
      <w:r>
        <w:t xml:space="preserve"> </w:t>
      </w:r>
      <w:r>
        <w:t xml:space="preserve">amount of dashboarding after the fact recovers a schema the sources never</w:t>
      </w:r>
      <w:r>
        <w:t xml:space="preserve"> </w:t>
      </w:r>
      <w:r>
        <w:t xml:space="preserve">agreed on.</w:t>
      </w:r>
    </w:p>
    <w:bookmarkEnd w:id="12"/>
    <w:bookmarkStart w:id="14" w:name="Xf668fd807fbcbb7b15411512bb4ed5f121414b7"/>
    <w:p>
      <w:pPr>
        <w:pStyle w:val="Heading1"/>
      </w:pPr>
      <w:r>
        <w:t xml:space="preserve">3. The Join Key — Authoritative Asset Identity + Time (AU-12(1))</w:t>
      </w:r>
    </w:p>
    <w:p>
      <w:pPr>
        <w:pStyle w:val="FirstParagraph"/>
      </w:pPr>
      <w:r>
        <w:t xml:space="preserve">Aggregating records is not the same as correlating them. Two records describe</w:t>
      </w:r>
      <w:r>
        <w:t xml:space="preserve"> </w:t>
      </w:r>
      <w:r>
        <w:t xml:space="preserve">the same asset only if they carry the</w:t>
      </w:r>
      <w:r>
        <w:t xml:space="preserve"> </w:t>
      </w:r>
      <w:r>
        <w:rPr>
          <w:b/>
          <w:bCs/>
        </w:rPr>
        <w:t xml:space="preserve">same authoritative</w:t>
      </w:r>
      <w:r>
        <w:rPr>
          <w:b/>
          <w:bCs/>
        </w:rPr>
        <w:t xml:space="preserve"> </w:t>
      </w:r>
      <w:r>
        <w:rPr>
          <w:rStyle w:val="VerbatimChar"/>
          <w:b/>
          <w:bCs/>
        </w:rPr>
        <w:t xml:space="preserve">asset_id</w:t>
      </w:r>
      <w:r>
        <w:t xml:space="preserve"> </w:t>
      </w:r>
      <w:r>
        <w:t xml:space="preserve">— which</w:t>
      </w:r>
      <w:r>
        <w:t xml:space="preserve"> </w:t>
      </w:r>
      <w:r>
        <w:t xml:space="preserve">is why the fabric’s correlation key is the naming plane’s IP/hostname (CM-8),</w:t>
      </w:r>
      <w:r>
        <w:t xml:space="preserve"> </w:t>
      </w:r>
      <w:r>
        <w:t xml:space="preserve">not each stack’s local inventory id. Add</w:t>
      </w:r>
      <w:r>
        <w:t xml:space="preserve"> </w:t>
      </w:r>
      <w:r>
        <w:rPr>
          <w:rStyle w:val="VerbatimChar"/>
        </w:rPr>
        <w:t xml:space="preserve">observed_at</w:t>
      </w:r>
      <w:r>
        <w:t xml:space="preserve"> </w:t>
      </w:r>
      <w:r>
        <w:t xml:space="preserve">and the fabric produces a</w:t>
      </w:r>
      <w:r>
        <w:t xml:space="preserve"> </w:t>
      </w:r>
      <w:r>
        <w:rPr>
          <w:b/>
          <w:bCs/>
        </w:rPr>
        <w:t xml:space="preserve">system-wide, time-correlated audit trail (AU-12(1))</w:t>
      </w:r>
      <w:r>
        <w:t xml:space="preserve">:</w:t>
      </w:r>
      <w:r>
        <w:t xml:space="preserve"> </w:t>
      </w:r>
      <w:r>
        <w:t xml:space="preserve">“as of 06:00, asset</w:t>
      </w:r>
      <w:r>
        <w:t xml:space="preserve"> </w:t>
      </w:r>
      <w:r>
        <w:rPr>
          <w:i/>
          <w:iCs/>
        </w:rPr>
        <w:t xml:space="preserve">A</w:t>
      </w:r>
      <w:r>
        <w:t xml:space="preserve"> </w:t>
      </w:r>
      <w:r>
        <w:t xml:space="preserve">was unpatched for CVE-X (from the patch stack), reachable on an unencrypted</w:t>
      </w:r>
      <w:r>
        <w:t xml:space="preserve"> </w:t>
      </w:r>
      <w:r>
        <w:t xml:space="preserve">segment (from the NEM telemetry), and out of baseline (from the config stack)”</w:t>
      </w:r>
      <w:r>
        <w:t xml:space="preserve"> </w:t>
      </w:r>
      <w:r>
        <w:t xml:space="preserve">— one correlated story about one asset, assembled from three surfaces.</w:t>
      </w:r>
    </w:p>
    <w:bookmarkStart w:id="13" w:name="X16a11e1ebc0bccfe4d020bc1be14cc1826f66b1"/>
    <w:p>
      <w:pPr>
        <w:pStyle w:val="Heading2"/>
      </w:pPr>
      <w:r>
        <w:t xml:space="preserve">3.1 Closure Necessity — correlation depends on the naming plane</w:t>
      </w:r>
    </w:p>
    <w:p>
      <w:pPr>
        <w:pStyle w:val="FirstParagraph"/>
      </w:pPr>
      <w:r>
        <w:t xml:space="preserve">You cannot build a system-wide audit trail across AWS, Azure, VMware, and Red</w:t>
      </w:r>
      <w:r>
        <w:t xml:space="preserve"> </w:t>
      </w:r>
      <w:r>
        <w:t xml:space="preserve">Hat without one authoritative asset identity to join on. AU-12(1) is therefore</w:t>
      </w:r>
      <w:r>
        <w:t xml:space="preserve"> </w:t>
      </w:r>
      <w:r>
        <w:t xml:space="preserve">downstream of the naming-plane necessity (IPAM/DDI, CM-8) and the federal asset-</w:t>
      </w:r>
      <w:r>
        <w:t xml:space="preserve"> </w:t>
      </w:r>
      <w:r>
        <w:t xml:space="preserve">visibility mandate (</w:t>
      </w:r>
      <w:r>
        <w:rPr>
          <w:b/>
          <w:bCs/>
        </w:rPr>
        <w:t xml:space="preserve">CISA BOD 23-01</w:t>
      </w:r>
      <w:r>
        <w:t xml:space="preserve">). This is the same join key the Patch &amp;</w:t>
      </w:r>
      <w:r>
        <w:t xml:space="preserve"> </w:t>
      </w:r>
      <w:r>
        <w:t xml:space="preserve">Systems Management book uses for SI-2 at scale — the fabric and the patch plane</w:t>
      </w:r>
      <w:r>
        <w:t xml:space="preserve"> </w:t>
      </w:r>
      <w:r>
        <w:t xml:space="preserve">share it.</w:t>
      </w:r>
    </w:p>
    <w:bookmarkEnd w:id="13"/>
    <w:bookmarkEnd w:id="14"/>
    <w:bookmarkStart w:id="15" w:name="X9b47ee01cbda959bddf69f4e6ea3be666b7da01"/>
    <w:p>
      <w:pPr>
        <w:pStyle w:val="Heading1"/>
      </w:pPr>
      <w:r>
        <w:t xml:space="preserve">4. Realizations — Aggregation, Coordination, and Delivery</w:t>
      </w:r>
    </w:p>
    <w:p>
      <w:pPr>
        <w:pStyle w:val="FirstParagraph"/>
      </w:pPr>
      <w:r>
        <w:t xml:space="preserve">The fabric is a contract, so more than one product can realize each role. Under</w:t>
      </w:r>
      <w:r>
        <w:t xml:space="preserve"> </w:t>
      </w:r>
      <w:r>
        <w:t xml:space="preserve">the agency’s Microsoft-preference rule (a Microsoft product is the default</w:t>
      </w:r>
      <w:r>
        <w:t xml:space="preserve"> </w:t>
      </w:r>
      <w:r>
        <w:rPr>
          <w:i/>
          <w:iCs/>
        </w:rPr>
        <w:t xml:space="preserve">when</w:t>
      </w:r>
      <w:r>
        <w:rPr>
          <w:i/>
          <w:iCs/>
        </w:rPr>
        <w:t xml:space="preserve"> </w:t>
      </w:r>
      <w:r>
        <w:rPr>
          <w:i/>
          <w:iCs/>
        </w:rPr>
        <w:t xml:space="preserve">it genuinely coordinates the multi-vendor surface at FedRAMP Moderate</w:t>
      </w:r>
      <w:r>
        <w:t xml:space="preserve"> </w:t>
      </w:r>
      <w:r>
        <w:t xml:space="preserve">— earned,</w:t>
      </w:r>
      <w:r>
        <w:t xml:space="preserve"> </w:t>
      </w:r>
      <w:r>
        <w:t xml:space="preserve">not automatic), the realizations are: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Default (earns it)</w:t>
            </w:r>
          </w:p>
        </w:tc>
        <w:tc>
          <w:tcPr/>
          <w:p>
            <w:pPr>
              <w:pStyle w:val="Compact"/>
            </w:pPr>
            <w:r>
              <w:t xml:space="preserve">Moderate alternative</w:t>
            </w:r>
          </w:p>
        </w:tc>
        <w:tc>
          <w:tcPr/>
          <w:p>
            <w:pPr>
              <w:pStyle w:val="Compact"/>
            </w:pPr>
            <w:r>
              <w:t xml:space="preserve">Notes</w:t>
            </w:r>
          </w:p>
        </w:tc>
      </w:tr>
      <w:tr>
        <w:tc>
          <w:tcPr/>
          <w:p>
            <w:pPr>
              <w:pStyle w:val="Compact"/>
            </w:pPr>
            <w:r>
              <w:rPr>
                <w:b/>
                <w:bCs/>
              </w:rPr>
              <w:t xml:space="preserve">Aggregation / analytics lake</w:t>
            </w:r>
          </w:p>
        </w:tc>
        <w:tc>
          <w:tcPr/>
          <w:p>
            <w:pPr>
              <w:pStyle w:val="Compact"/>
            </w:pPr>
            <w:r>
              <w:rPr>
                <w:b/>
                <w:bCs/>
              </w:rPr>
              <w:t xml:space="preserve">Microsoft Sentinel</w:t>
            </w:r>
            <w:r>
              <w:t xml:space="preserve"> </w:t>
            </w:r>
            <w:r>
              <w:t xml:space="preserve">— ingests AWS (Security Hub / GuardDuty / CloudTrail), OCI, GCP, and NEM syslog/CEF; FedRAMP-authorized</w:t>
            </w:r>
          </w:p>
        </w:tc>
        <w:tc>
          <w:tcPr/>
          <w:p>
            <w:pPr>
              <w:pStyle w:val="Compact"/>
            </w:pPr>
            <w:r>
              <w:rPr>
                <w:b/>
                <w:bCs/>
              </w:rPr>
              <w:t xml:space="preserve">Splunk Cloud Platform</w:t>
            </w:r>
            <w:r>
              <w:t xml:space="preserve"> </w:t>
            </w:r>
            <w:r>
              <w:t xml:space="preserve">(FedRAMP Moderate)</w:t>
            </w:r>
          </w:p>
        </w:tc>
        <w:tc>
          <w:tcPr/>
          <w:p>
            <w:pPr>
              <w:pStyle w:val="Compact"/>
            </w:pPr>
            <w:r>
              <w:t xml:space="preserve">Both owned — dual-SIEM redundancy, not a default/alternative choice. Sentinel is the primary cross-vendor ingestion lake by breadth of native connectors; Splunk runs the same evidence contract in parallel, providing audit-log continuity if either platform’s ingestion path fails</w:t>
            </w:r>
          </w:p>
        </w:tc>
      </w:tr>
      <w:tr>
        <w:tc>
          <w:tcPr/>
          <w:p>
            <w:pPr>
              <w:pStyle w:val="Compact"/>
            </w:pPr>
            <w:r>
              <w:rPr>
                <w:b/>
                <w:bCs/>
              </w:rPr>
              <w:t xml:space="preserve">Workflow / correlation hub / CMDB</w:t>
            </w:r>
          </w:p>
        </w:tc>
        <w:tc>
          <w:tcPr/>
          <w:p>
            <w:pPr>
              <w:pStyle w:val="Compact"/>
            </w:pPr>
            <w:r>
              <w:rPr>
                <w:b/>
                <w:bCs/>
              </w:rPr>
              <w:t xml:space="preserve">ServiceNow</w:t>
            </w:r>
            <w:r>
              <w:t xml:space="preserve"> </w:t>
            </w:r>
            <w:r>
              <w:t xml:space="preserve">(FedRAMP-authorized)</w:t>
            </w:r>
          </w:p>
        </w:tc>
        <w:tc>
          <w:tcPr/>
          <w:p>
            <w:pPr>
              <w:pStyle w:val="Compact"/>
            </w:pPr>
            <w:r>
              <w:t xml:space="preserve">BMC Helix</w:t>
            </w:r>
          </w:p>
        </w:tc>
        <w:tc>
          <w:tcPr/>
          <w:p>
            <w:pPr>
              <w:pStyle w:val="Compact"/>
            </w:pPr>
            <w:r>
              <w:rPr>
                <w:b/>
                <w:bCs/>
              </w:rPr>
              <w:t xml:space="preserve">CMDB reconciles to IPAM/DDI — it does not replace the naming-plane join key</w:t>
            </w:r>
          </w:p>
        </w:tc>
      </w:tr>
      <w:tr>
        <w:tc>
          <w:tcPr/>
          <w:p>
            <w:pPr>
              <w:pStyle w:val="Compact"/>
            </w:pPr>
            <w:r>
              <w:rPr>
                <w:b/>
                <w:bCs/>
              </w:rPr>
              <w:t xml:space="preserve">Federal rollup</w:t>
            </w:r>
          </w:p>
        </w:tc>
        <w:tc>
          <w:tcPr/>
          <w:p>
            <w:pPr>
              <w:pStyle w:val="Compact"/>
            </w:pPr>
            <w:r>
              <w:rPr>
                <w:b/>
                <w:bCs/>
              </w:rPr>
              <w:t xml:space="preserve">CISA CDM</w:t>
            </w:r>
            <w:r>
              <w:t xml:space="preserve"> </w:t>
            </w:r>
            <w:r>
              <w:t xml:space="preserve">agency dashboard → federal dashboard</w:t>
            </w:r>
          </w:p>
        </w:tc>
        <w:tc>
          <w:tcPr/>
          <w:p>
            <w:pPr>
              <w:pStyle w:val="Compact"/>
            </w:pPr>
            <w:r>
              <w:t xml:space="preserve">—</w:t>
            </w:r>
          </w:p>
        </w:tc>
        <w:tc>
          <w:tcPr/>
          <w:p>
            <w:pPr>
              <w:pStyle w:val="Compact"/>
            </w:pPr>
            <w:r>
              <w:t xml:space="preserve">The federal coordination substrate; the fabric feeds it</w:t>
            </w:r>
          </w:p>
        </w:tc>
      </w:tr>
      <w:tr>
        <w:tc>
          <w:tcPr/>
          <w:p>
            <w:pPr>
              <w:pStyle w:val="Compact"/>
            </w:pPr>
            <w:r>
              <w:rPr>
                <w:b/>
                <w:bCs/>
              </w:rPr>
              <w:t xml:space="preserve">Attestation</w:t>
            </w:r>
          </w:p>
        </w:tc>
        <w:tc>
          <w:tcPr/>
          <w:p>
            <w:pPr>
              <w:pStyle w:val="Compact"/>
            </w:pPr>
            <w:r>
              <w:t xml:space="preserve">FedRAMP 20x</w:t>
            </w:r>
            <w:r>
              <w:t xml:space="preserve"> </w:t>
            </w:r>
            <w:r>
              <w:rPr>
                <w:b/>
                <w:bCs/>
              </w:rPr>
              <w:t xml:space="preserve">KSI</w:t>
            </w:r>
            <w:r>
              <w:t xml:space="preserve"> </w:t>
            </w:r>
            <w:r>
              <w:t xml:space="preserve">evidence pipeline + OSCAL bundle</w:t>
            </w:r>
          </w:p>
        </w:tc>
        <w:tc>
          <w:tcPr/>
          <w:p>
            <w:pPr>
              <w:pStyle w:val="Compact"/>
            </w:pPr>
            <w:r>
              <w:t xml:space="preserve">—</w:t>
            </w:r>
          </w:p>
        </w:tc>
        <w:tc>
          <w:tcPr/>
          <w:p>
            <w:pPr>
              <w:pStyle w:val="Compact"/>
            </w:pPr>
            <w:r>
              <w:t xml:space="preserve">Consumed by the Authorization Package &amp; ConMon book</w:t>
            </w:r>
          </w:p>
        </w:tc>
      </w:tr>
    </w:tbl>
    <w:p>
      <w:pPr>
        <w:pStyle w:val="BodyText"/>
      </w:pPr>
      <w:r>
        <w:t xml:space="preserve">The doctrine guardrail holds throughout:</w:t>
      </w:r>
      <w:r>
        <w:t xml:space="preserve"> </w:t>
      </w:r>
      <w:r>
        <w:rPr>
          <w:b/>
          <w:bCs/>
        </w:rPr>
        <w:t xml:space="preserve">the fabric mandates the contract,</w:t>
      </w:r>
      <w:r>
        <w:rPr>
          <w:b/>
          <w:bCs/>
        </w:rPr>
        <w:t xml:space="preserve"> </w:t>
      </w:r>
      <w:r>
        <w:rPr>
          <w:b/>
          <w:bCs/>
        </w:rPr>
        <w:t xml:space="preserve">never the vendor.</w:t>
      </w:r>
      <w:r>
        <w:t xml:space="preserve"> </w:t>
      </w:r>
      <w:r>
        <w:t xml:space="preserve">Any lake that ingests the multi-surface record set, any hub</w:t>
      </w:r>
      <w:r>
        <w:t xml:space="preserve"> </w:t>
      </w:r>
      <w:r>
        <w:t xml:space="preserve">that correlates on the authoritative</w:t>
      </w:r>
      <w:r>
        <w:t xml:space="preserve"> </w:t>
      </w:r>
      <w:r>
        <w:rPr>
          <w:rStyle w:val="VerbatimChar"/>
        </w:rPr>
        <w:t xml:space="preserve">asset_id</w:t>
      </w:r>
      <w:r>
        <w:t xml:space="preserve">, and any pipeline that emits the</w:t>
      </w:r>
      <w:r>
        <w:t xml:space="preserve"> </w:t>
      </w:r>
      <w:r>
        <w:t xml:space="preserve">KSI/OSCAL evidence is admissible.</w:t>
      </w:r>
    </w:p>
    <w:bookmarkEnd w:id="15"/>
    <w:bookmarkStart w:id="16" w:name="the-continuous-monitoring-pipeline-ca-7"/>
    <w:p>
      <w:pPr>
        <w:pStyle w:val="Heading1"/>
      </w:pPr>
      <w:r>
        <w:t xml:space="preserve">5. The Continuous-Monitoring Pipeline (CA-7)</w:t>
      </w:r>
    </w:p>
    <w:p>
      <w:pPr>
        <w:pStyle w:val="FirstParagraph"/>
      </w:pPr>
      <w:r>
        <w:t xml:space="preserve">The fabric</w:t>
      </w:r>
      <w:r>
        <w:t xml:space="preserve"> </w:t>
      </w:r>
      <w:r>
        <w:rPr>
          <w:i/>
          <w:iCs/>
        </w:rPr>
        <w:t xml:space="preserve">is</w:t>
      </w:r>
      <w:r>
        <w:t xml:space="preserve"> </w:t>
      </w:r>
      <w:r>
        <w:t xml:space="preserve">the ConMon evidence pipeline: sources emit on their own cadence</w:t>
      </w:r>
      <w:r>
        <w:t xml:space="preserve"> </w:t>
      </w:r>
      <w:r>
        <w:t xml:space="preserve">→ records normalize to the contract → correlate on asset identity + time →</w:t>
      </w:r>
      <w:r>
        <w:t xml:space="preserve"> </w:t>
      </w:r>
      <w:r>
        <w:t xml:space="preserve">aggregate in the lake → roll up to CDM → attest as KSI/OSCAL.</w:t>
      </w:r>
      <w:r>
        <w:t xml:space="preserve"> </w:t>
      </w:r>
      <w:r>
        <w:rPr>
          <w:b/>
          <w:bCs/>
        </w:rPr>
        <w:t xml:space="preserve">CA-7 continuous</w:t>
      </w:r>
      <w:r>
        <w:rPr>
          <w:b/>
          <w:bCs/>
        </w:rPr>
        <w:t xml:space="preserve"> </w:t>
      </w:r>
      <w:r>
        <w:rPr>
          <w:b/>
          <w:bCs/>
        </w:rPr>
        <w:t xml:space="preserve">monitoring</w:t>
      </w:r>
      <w:r>
        <w:t xml:space="preserve"> </w:t>
      </w:r>
      <w:r>
        <w:t xml:space="preserve">is closed here as the</w:t>
      </w:r>
      <w:r>
        <w:t xml:space="preserve"> </w:t>
      </w:r>
      <w:r>
        <w:rPr>
          <w:i/>
          <w:iCs/>
        </w:rPr>
        <w:t xml:space="preserve">flow</w:t>
      </w:r>
      <w:r>
        <w:t xml:space="preserve">; the SIEM/XDR book adds detection</w:t>
      </w:r>
      <w:r>
        <w:t xml:space="preserve"> </w:t>
      </w:r>
      <w:r>
        <w:t xml:space="preserve">analytics over the lake, and the Authorization Package book freezes a point-in-</w:t>
      </w:r>
      <w:r>
        <w:t xml:space="preserve"> </w:t>
      </w:r>
      <w:r>
        <w:t xml:space="preserve">time OSCAL bundle from it.</w:t>
      </w:r>
      <w:r>
        <w:t xml:space="preserve"> </w:t>
      </w:r>
      <w:r>
        <w:rPr>
          <w:b/>
          <w:bCs/>
        </w:rPr>
        <w:t xml:space="preserve">OMB M-26-14</w:t>
      </w:r>
      <w:r>
        <w:t xml:space="preserve"> </w:t>
      </w:r>
      <w:r>
        <w:t xml:space="preserve">(agency logging and network visibility, which rescinded M-21-31 on 22 May 2026 and replaced its EL0–EL3 tiers with a five-level maturity model scored to the lowest watermark) and</w:t>
      </w:r>
      <w:r>
        <w:t xml:space="preserve"> </w:t>
      </w:r>
      <w:r>
        <w:rPr>
          <w:b/>
          <w:bCs/>
        </w:rPr>
        <w:t xml:space="preserve">NIST</w:t>
      </w:r>
      <w:r>
        <w:rPr>
          <w:b/>
          <w:bCs/>
        </w:rPr>
        <w:t xml:space="preserve"> </w:t>
      </w:r>
      <w:r>
        <w:rPr>
          <w:b/>
          <w:bCs/>
        </w:rPr>
        <w:t xml:space="preserve">SP 800-137 (ISCM)</w:t>
      </w:r>
      <w:r>
        <w:t xml:space="preserve"> </w:t>
      </w:r>
      <w:r>
        <w:t xml:space="preserve">are the driving authorities;</w:t>
      </w:r>
      <w:r>
        <w:t xml:space="preserve"> </w:t>
      </w:r>
      <w:r>
        <w:rPr>
          <w:b/>
          <w:bCs/>
        </w:rPr>
        <w:t xml:space="preserve">AU-6(1)</w:t>
      </w:r>
      <w:r>
        <w:t xml:space="preserve"> </w:t>
      </w:r>
      <w:r>
        <w:t xml:space="preserve">(automated process</w:t>
      </w:r>
      <w:r>
        <w:t xml:space="preserve"> </w:t>
      </w:r>
      <w:r>
        <w:t xml:space="preserve">integration) and</w:t>
      </w:r>
      <w:r>
        <w:t xml:space="preserve"> </w:t>
      </w:r>
      <w:r>
        <w:rPr>
          <w:b/>
          <w:bCs/>
        </w:rPr>
        <w:t xml:space="preserve">SI-4(16)</w:t>
      </w:r>
      <w:r>
        <w:t xml:space="preserve"> </w:t>
      </w:r>
      <w:r>
        <w:t xml:space="preserve">(correlate monitoring information) are closed by</w:t>
      </w:r>
      <w:r>
        <w:t xml:space="preserve"> </w:t>
      </w:r>
      <w:r>
        <w:t xml:space="preserve">the automated aggregation and cross-surface correlation the fabric performs.</w:t>
      </w:r>
    </w:p>
    <w:bookmarkEnd w:id="16"/>
    <w:bookmarkStart w:id="17" w:name="Xebd9fbc0874ac437cee95afe649484f9b290fc1"/>
    <w:p>
      <w:pPr>
        <w:pStyle w:val="Heading1"/>
      </w:pPr>
      <w:r>
        <w:t xml:space="preserve">6. 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via</w:t>
      </w:r>
      <w:r>
        <w:t xml:space="preserve"> </w:t>
      </w:r>
      <w:r>
        <w:rPr>
          <w:rStyle w:val="VerbatimChar"/>
        </w:rPr>
        <w:t xml:space="preserve">render_authorities_table.py</w:t>
      </w:r>
      <w:r>
        <w:t xml:space="preserve">; not hand-maintained. All rows are telemetry-slot,</w:t>
      </w:r>
      <w:r>
        <w:t xml:space="preserve"> </w:t>
      </w:r>
      <w:r>
        <w:t xml:space="preserve">KSI-MLA, and</w:t>
      </w:r>
      <w:r>
        <w:t xml:space="preserve"> </w:t>
      </w:r>
      <w:r>
        <w:rPr>
          <w:b/>
          <w:bCs/>
        </w:rPr>
        <w:t xml:space="preserve">not</w:t>
      </w:r>
      <w:r>
        <w:t xml:space="preserve"> </w:t>
      </w:r>
      <w:r>
        <w:t xml:space="preserve">attestable by a single-tenant conformance scan — the</w:t>
      </w:r>
      <w:r>
        <w:t xml:space="preserve"> </w:t>
      </w:r>
      <w:r>
        <w:t xml:space="preserve">evidence is the</w:t>
      </w:r>
      <w:r>
        <w:t xml:space="preserve"> </w:t>
      </w:r>
      <w:r>
        <w:rPr>
          <w:i/>
          <w:iCs/>
        </w:rPr>
        <w:t xml:space="preserve">aggregated, correlated</w:t>
      </w:r>
      <w:r>
        <w:t xml:space="preserve"> </w:t>
      </w:r>
      <w:r>
        <w:t xml:space="preserve">record set, which is exactly what a</w:t>
      </w:r>
      <w:r>
        <w:t xml:space="preserve"> </w:t>
      </w:r>
      <w:r>
        <w:t xml:space="preserve">per-tenant tool cannot produce.</w:t>
      </w:r>
    </w:p>
    <w:p>
      <w:pPr>
        <w:pStyle w:val="TableCaption"/>
      </w:pPr>
      <w:r>
        <w:t xml:space="preserve">Authorities Closed Here — Multi-Cloud Evidence Fabric (telemetry → CDM → KSI) († = Closure-Necessity anchor: no alternate closure path)</w:t>
      </w:r>
    </w:p>
    <w:tbl>
      <w:tblPr>
        <w:tblStyle w:val="Table"/>
        <w:tblW w:type="pct" w:w="5000"/>
        <w:tblLayout w:type="fixed"/>
        <w:tblLook w:firstRow="1" w:lastRow="0" w:firstColumn="0" w:lastColumn="0" w:noHBand="0" w:noVBand="0" w:val="0020"/>
        <w:tblCaption w:val="Authorities Closed Here — Multi-Cloud Evidence Fabric (telemetry → CDM → KS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AU-12</w:t>
            </w:r>
          </w:p>
        </w:tc>
        <w:tc>
          <w:tcPr/>
          <w:p>
            <w:pPr>
              <w:pStyle w:val="Compact"/>
            </w:pPr>
            <w:r>
              <w:t xml:space="preserve">Audit Record Generation</w:t>
            </w:r>
          </w:p>
        </w:tc>
        <w:tc>
          <w:tcPr/>
          <w:p>
            <w:pPr>
              <w:pStyle w:val="Compact"/>
            </w:pPr>
            <w:r>
              <w:t xml:space="preserve">Enterprise-wide audit generation spanning every CSP, NEM appliance, and OS agent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AU-12(1) †</w:t>
            </w:r>
          </w:p>
        </w:tc>
        <w:tc>
          <w:tcPr/>
          <w:p>
            <w:pPr>
              <w:pStyle w:val="Compact"/>
            </w:pPr>
            <w:r>
              <w:t xml:space="preserve">System-wide and Time-correlated Audit Trail</w:t>
            </w:r>
          </w:p>
        </w:tc>
        <w:tc>
          <w:tcPr/>
          <w:p>
            <w:pPr>
              <w:pStyle w:val="Compact"/>
            </w:pPr>
            <w:r>
              <w:t xml:space="preserve">Cross-surface correlation keyed to authoritative asset identity (IPAM/DDI) + time — the join that makes one compliance picture</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AU-3 †</w:t>
            </w:r>
          </w:p>
        </w:tc>
        <w:tc>
          <w:tcPr/>
          <w:p>
            <w:pPr>
              <w:pStyle w:val="Compact"/>
            </w:pPr>
            <w:r>
              <w:t xml:space="preserve">Content of Audit Records</w:t>
            </w:r>
          </w:p>
        </w:tc>
        <w:tc>
          <w:tcPr/>
          <w:p>
            <w:pPr>
              <w:pStyle w:val="Compact"/>
            </w:pPr>
            <w:r>
              <w:t xml:space="preserve">Unified machine-readable evidence-record contract every native stack emits (the coordination mechanism)</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AU-6(1)</w:t>
            </w:r>
          </w:p>
        </w:tc>
        <w:tc>
          <w:tcPr/>
          <w:p>
            <w:pPr>
              <w:pStyle w:val="Compact"/>
            </w:pPr>
            <w:r>
              <w:t xml:space="preserve">Automated Process Integration</w:t>
            </w:r>
          </w:p>
        </w:tc>
        <w:tc>
          <w:tcPr/>
          <w:p>
            <w:pPr>
              <w:pStyle w:val="Compact"/>
            </w:pPr>
            <w:r>
              <w:t xml:space="preserve">Automated aggregation + analysis across CSP/NEM/OS sources into one lake (Sentinel default; Splunk alternative)</w:t>
            </w:r>
          </w:p>
        </w:tc>
        <w:tc>
          <w:tcPr/>
          <w:p>
            <w:pPr>
              <w:pStyle w:val="Compact"/>
            </w:pPr>
            <w:r>
              <w:t xml:space="preserve">FedRAMP Moderate</w:t>
            </w:r>
          </w:p>
        </w:tc>
        <w:tc>
          <w:tcPr/>
          <w:p>
            <w:pPr>
              <w:pStyle w:val="Compact"/>
            </w:pPr>
            <w:r>
              <w:t xml:space="preserve">NIST SP 800-53 Rev 5; NIST SP 800-137</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The telemetry→evidence→CDM→KSI pipeline; ServiceNow coordinates workflow, CMDB reconciled to IPAM/DDI</w:t>
            </w:r>
          </w:p>
        </w:tc>
        <w:tc>
          <w:tcPr/>
          <w:p>
            <w:pPr>
              <w:pStyle w:val="Compact"/>
            </w:pPr>
            <w:r>
              <w:t xml:space="preserve">FedRAMP Moderate</w:t>
            </w:r>
          </w:p>
        </w:tc>
        <w:tc>
          <w:tcPr/>
          <w:p>
            <w:pPr>
              <w:pStyle w:val="Compact"/>
            </w:pPr>
            <w:r>
              <w:t xml:space="preserve">NIST SP 800-53 Rev 5; NIST SP 800-137; CISA CDM;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SI-4(16)</w:t>
            </w:r>
          </w:p>
        </w:tc>
        <w:tc>
          <w:tcPr/>
          <w:p>
            <w:pPr>
              <w:pStyle w:val="Compact"/>
            </w:pPr>
            <w:r>
              <w:t xml:space="preserve">Correlate Monitoring Information</w:t>
            </w:r>
          </w:p>
        </w:tc>
        <w:tc>
          <w:tcPr/>
          <w:p>
            <w:pPr>
              <w:pStyle w:val="Compact"/>
            </w:pPr>
            <w:r>
              <w:t xml:space="preserve">Correlation of monitoring data across vendor/surface boundaries in the unified fabric</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17"/>
    <w:bookmarkStart w:id="19" w:name="fedramp-20x-ksi-alignment"/>
    <w:p>
      <w:pPr>
        <w:pStyle w:val="Heading1"/>
      </w:pPr>
      <w:r>
        <w:t xml:space="preserve">7. FedRAMP 20x KSI Alignment</w:t>
      </w:r>
    </w:p>
    <w:p>
      <w:pPr>
        <w:pStyle w:val="FirstParagraph"/>
      </w:pPr>
      <w:r>
        <w:t xml:space="preserve">The fabric is the primary</w:t>
      </w:r>
      <w:r>
        <w:t xml:space="preserve"> </w:t>
      </w:r>
      <w:r>
        <w:rPr>
          <w:b/>
          <w:bCs/>
        </w:rPr>
        <w:t xml:space="preserve">KSI-MLA</w:t>
      </w:r>
      <w:r>
        <w:t xml:space="preserve"> </w:t>
      </w:r>
      <w:r>
        <w:t xml:space="preserve">(Monitoring, Logging, and Auditing) evidence</w:t>
      </w:r>
      <w:r>
        <w:t xml:space="preserve"> </w:t>
      </w:r>
      <w:r>
        <w:t xml:space="preserve">source for the whole series: every book that emits a compliance record —</w:t>
      </w:r>
      <w:r>
        <w:t xml:space="preserve"> </w:t>
      </w:r>
      <w:r>
        <w:t xml:space="preserve">identity, patch, network enforcement, posture, data — delivers it</w:t>
      </w:r>
      <w:r>
        <w:t xml:space="preserve"> </w:t>
      </w:r>
      <w:r>
        <w:rPr>
          <w:i/>
          <w:iCs/>
        </w:rPr>
        <w:t xml:space="preserve">through</w:t>
      </w:r>
      <w:r>
        <w:t xml:space="preserve"> </w:t>
      </w:r>
      <w:r>
        <w:t xml:space="preserve">this</w:t>
      </w:r>
      <w:r>
        <w:t xml:space="preserve"> </w:t>
      </w:r>
      <w:r>
        <w:t xml:space="preserve">fabric, where it is normalized, correlated, and rolled up. The fabric does not</w:t>
      </w:r>
      <w:r>
        <w:t xml:space="preserve"> </w:t>
      </w:r>
      <w:r>
        <w:t xml:space="preserve">compete with the SIEM/XDR book for KSI-MLA; it is the substrate that book’s</w:t>
      </w:r>
      <w:r>
        <w:t xml:space="preserve"> </w:t>
      </w:r>
      <w:r>
        <w:t xml:space="preserve">analytics run on. Because the evidence is the aggregated, correlated record set</w:t>
      </w:r>
      <w:r>
        <w:t xml:space="preserve"> </w:t>
      </w:r>
      <w:r>
        <w:t xml:space="preserve">(not a single-tenant configuration snapshot), none of these controls is</w:t>
      </w:r>
      <w:r>
        <w:t xml:space="preserve"> </w:t>
      </w:r>
      <w:r>
        <w:t xml:space="preserve">attestable by a conformance tool alone — the</w:t>
      </w:r>
      <w:r>
        <w:t xml:space="preserve"> </w:t>
      </w:r>
      <w:r>
        <w:rPr>
          <w:i/>
          <w:iCs/>
        </w:rPr>
        <w:t xml:space="preserve">Tool-attestable?</w:t>
      </w:r>
      <w:r>
        <w:t xml:space="preserve"> </w:t>
      </w:r>
      <w:r>
        <w:t xml:space="preserve">column is</w:t>
      </w:r>
      <w:r>
        <w:t xml:space="preserve"> </w:t>
      </w:r>
      <w:r>
        <w:t xml:space="preserve">uniformly</w:t>
      </w:r>
      <w:r>
        <w:t xml:space="preserve"> </w:t>
      </w:r>
      <w:r>
        <w:rPr>
          <w:b/>
          <w:bCs/>
        </w:rPr>
        <w:t xml:space="preserve">No</w:t>
      </w:r>
      <w:r>
        <w:t xml:space="preserve">, and the coordination doctrine’s contract is what makes them</w:t>
      </w:r>
      <w:r>
        <w:t xml:space="preserve"> </w:t>
      </w:r>
      <w:r>
        <w:t xml:space="preserve">evaluable.</w:t>
      </w:r>
    </w:p>
    <w:bookmarkStart w:id="18" w:name="realization-selection-status"/>
    <w:p>
      <w:pPr>
        <w:pStyle w:val="Heading2"/>
      </w:pPr>
      <w:r>
        <w:t xml:space="preserve">7.1 Realization Selection Status</w:t>
      </w:r>
    </w:p>
    <w:p>
      <w:pPr>
        <w:pStyle w:val="FirstParagraph"/>
      </w:pPr>
      <w:r>
        <w:t xml:space="preserve">The agency owns both SIEM platforms: Sentinel and Splunk Cloud Platform run as</w:t>
      </w:r>
      <w:r>
        <w:t xml:space="preserve"> </w:t>
      </w:r>
      <w:r>
        <w:t xml:space="preserve">dual-SIEM redundancy, not a default/alternative choice pending procurement.</w:t>
      </w:r>
      <w:r>
        <w:t xml:space="preserve"> </w:t>
      </w:r>
      <w:r>
        <w:t xml:space="preserve">Sentinel is the primary aggregation lake on the Microsoft-preference rule</w:t>
      </w:r>
      <w:r>
        <w:t xml:space="preserve"> </w:t>
      </w:r>
      <w:r>
        <w:t xml:space="preserve">(earned by genuine multi-cloud/NEM ingestion at FedRAMP Moderate); Splunk runs</w:t>
      </w:r>
      <w:r>
        <w:t xml:space="preserve"> </w:t>
      </w:r>
      <w:r>
        <w:t xml:space="preserve">the same evidence contract in parallel. ServiceNow (FedRAMP-authorized, also</w:t>
      </w:r>
      <w:r>
        <w:t xml:space="preserve"> </w:t>
      </w:r>
      <w:r>
        <w:t xml:space="preserve">owned) is the workflow/CMDB coordination hub, with its CMDB reconciled to the</w:t>
      </w:r>
      <w:r>
        <w:t xml:space="preserve"> </w:t>
      </w:r>
      <w:r>
        <w:t xml:space="preserve">authoritative IPAM/DDI identity. Verify all authorizations on the FedRAMP</w:t>
      </w:r>
      <w:r>
        <w:t xml:space="preserve"> </w:t>
      </w:r>
      <w:r>
        <w:t xml:space="preserve">Marketplace at procurement.</w:t>
      </w:r>
    </w:p>
    <w:bookmarkEnd w:id="18"/>
    <w:bookmarkEnd w:id="19"/>
    <w:bookmarkStart w:id="27" w:name="references"/>
    <w:p>
      <w:pPr>
        <w:pStyle w:val="Heading1"/>
      </w:pPr>
      <w:r>
        <w:t xml:space="preserve">8. 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AU-3, AU-6(1), AU-12, AU-12(1), CA-7, SI-4(16)</w:t>
            </w:r>
          </w:p>
        </w:tc>
      </w:tr>
      <w:tr>
        <w:tc>
          <w:tcPr/>
          <w:p>
            <w:pPr>
              <w:pStyle w:val="Compact"/>
            </w:pPr>
            <w:r>
              <w:t xml:space="preserve">NIST SP 800-137</w:t>
            </w:r>
          </w:p>
        </w:tc>
        <w:tc>
          <w:tcPr/>
          <w:p>
            <w:pPr>
              <w:pStyle w:val="Compact"/>
            </w:pPr>
            <w:r>
              <w:t xml:space="preserve">Information Security Continuous Monitoring (ISCM)</w:t>
            </w:r>
          </w:p>
        </w:tc>
      </w:tr>
      <w:tr>
        <w:tc>
          <w:tcPr/>
          <w:p>
            <w:pPr>
              <w:pStyle w:val="Compact"/>
            </w:pPr>
            <w:r>
              <w:t xml:space="preserve">OMB M-26-14</w:t>
            </w:r>
          </w:p>
        </w:tc>
        <w:tc>
          <w:tcPr/>
          <w:p>
            <w:pPr>
              <w:pStyle w:val="Compact"/>
            </w:pPr>
            <w:r>
              <w:t xml:space="preserve">Ensuring Effective and Efficient Agency Logging and Network Visibility (22 May 2026; rescinds M-21-31,</w:t>
            </w:r>
            <w:r>
              <w:t xml:space="preserve"> </w:t>
            </w:r>
            <w:r>
              <w:rPr>
                <w:i/>
                <w:iCs/>
              </w:rPr>
              <w:t xml:space="preserve">Improving the Federal Government’s Investigative and Remediation Capabilities</w:t>
            </w:r>
            <w:r>
              <w:t xml:space="preserve">) (event-logging maturity) —</w:t>
            </w:r>
            <w:r>
              <w:t xml:space="preserve"> </w:t>
            </w:r>
            <w:hyperlink r:id="rId20">
              <w:r>
                <w:rPr>
                  <w:rStyle w:val="Hyperlink"/>
                </w:rPr>
                <w:t xml:space="preserve">https://www.whitehouse.gov/wp-content/uploads/2021/08/M-21-31-Improving-the-Federal-Governments-Investigative-and-Remediation-Capabilities-Related-to-Cybersecurity-Incidents.pdf</w:t>
              </w:r>
            </w:hyperlink>
          </w:p>
        </w:tc>
      </w:tr>
      <w:tr>
        <w:tc>
          <w:tcPr/>
          <w:p>
            <w:pPr>
              <w:pStyle w:val="Compact"/>
            </w:pPr>
            <w:r>
              <w:t xml:space="preserve">CISA CDM Program</w:t>
            </w:r>
          </w:p>
        </w:tc>
        <w:tc>
          <w:tcPr/>
          <w:p>
            <w:pPr>
              <w:pStyle w:val="Compact"/>
            </w:pPr>
            <w:r>
              <w:t xml:space="preserve">Continuous Diagnostics &amp; Mitigation —</w:t>
            </w:r>
            <w:r>
              <w:t xml:space="preserve"> </w:t>
            </w:r>
            <w:hyperlink r:id="rId21">
              <w:r>
                <w:rPr>
                  <w:rStyle w:val="Hyperlink"/>
                </w:rPr>
                <w:t xml:space="preserve">https://www.cisa.gov/cdm</w:t>
              </w:r>
            </w:hyperlink>
          </w:p>
        </w:tc>
      </w:tr>
      <w:tr>
        <w:tc>
          <w:tcPr/>
          <w:p>
            <w:pPr>
              <w:pStyle w:val="Compact"/>
            </w:pPr>
            <w:r>
              <w:t xml:space="preserve">CISA BOD 23-01</w:t>
            </w:r>
          </w:p>
        </w:tc>
        <w:tc>
          <w:tcPr/>
          <w:p>
            <w:pPr>
              <w:pStyle w:val="Compact"/>
            </w:pPr>
            <w:r>
              <w:t xml:space="preserve">Asset visibility &amp; vulnerability enumeration —</w:t>
            </w:r>
            <w:r>
              <w:t xml:space="preserve"> </w:t>
            </w:r>
            <w:hyperlink r:id="rId22">
              <w:r>
                <w:rPr>
                  <w:rStyle w:val="Hyperlink"/>
                </w:rPr>
                <w:t xml:space="preserve">https://www.cisa.gov/news-events/directives/bod-23-01-improving-asset-visibility-and-vulnerability-detection-federal-networks</w:t>
              </w:r>
            </w:hyperlink>
          </w:p>
        </w:tc>
      </w:tr>
      <w:tr>
        <w:tc>
          <w:tcPr/>
          <w:p>
            <w:pPr>
              <w:pStyle w:val="Compact"/>
            </w:pPr>
            <w:r>
              <w:t xml:space="preserve">Microsoft Sentinel (multi-cloud data connectors)</w:t>
            </w:r>
          </w:p>
        </w:tc>
        <w:tc>
          <w:tcPr/>
          <w:p>
            <w:pPr>
              <w:pStyle w:val="Compact"/>
            </w:pPr>
            <w:hyperlink r:id="rId23">
              <w:r>
                <w:rPr>
                  <w:rStyle w:val="Hyperlink"/>
                </w:rPr>
                <w:t xml:space="preserve">https://learn.microsoft.com/azure/sentinel/connect-data-sources</w:t>
              </w:r>
            </w:hyperlink>
          </w:p>
        </w:tc>
      </w:tr>
      <w:tr>
        <w:tc>
          <w:tcPr/>
          <w:p>
            <w:pPr>
              <w:pStyle w:val="Compact"/>
            </w:pPr>
            <w:r>
              <w:t xml:space="preserve">Splunk Cloud Platform (FedRAMP Moderate)</w:t>
            </w:r>
          </w:p>
        </w:tc>
        <w:tc>
          <w:tcPr/>
          <w:p>
            <w:pPr>
              <w:pStyle w:val="Compact"/>
            </w:pPr>
            <w:hyperlink r:id="rId24">
              <w:r>
                <w:rPr>
                  <w:rStyle w:val="Hyperlink"/>
                </w:rPr>
                <w:t xml:space="preserve">https://www.fedramp.gov/marketplace/products/F1607197917/</w:t>
              </w:r>
            </w:hyperlink>
          </w:p>
        </w:tc>
      </w:tr>
      <w:tr>
        <w:tc>
          <w:tcPr/>
          <w:p>
            <w:pPr>
              <w:pStyle w:val="Compact"/>
            </w:pPr>
            <w:r>
              <w:t xml:space="preserve">ServiceNow (FedRAMP-authorized; ITOM/CMDB/SecOps)</w:t>
            </w:r>
          </w:p>
        </w:tc>
        <w:tc>
          <w:tcPr/>
          <w:p>
            <w:pPr>
              <w:pStyle w:val="Compact"/>
            </w:pPr>
            <w:hyperlink r:id="rId25">
              <w:r>
                <w:rPr>
                  <w:rStyle w:val="Hyperlink"/>
                </w:rPr>
                <w:t xml:space="preserve">https://www.fedramp.gov/marketplace/products/F1305072116/</w:t>
              </w:r>
            </w:hyperlink>
          </w:p>
        </w:tc>
      </w:tr>
      <w:tr>
        <w:tc>
          <w:tcPr/>
          <w:p>
            <w:pPr>
              <w:pStyle w:val="Compact"/>
            </w:pPr>
            <w:r>
              <w:t xml:space="preserve">NIST OSCAL</w:t>
            </w:r>
          </w:p>
        </w:tc>
        <w:tc>
          <w:tcPr/>
          <w:p>
            <w:pPr>
              <w:pStyle w:val="Compact"/>
            </w:pPr>
            <w:r>
              <w:t xml:space="preserve">Open Security Controls Assessment Language —</w:t>
            </w:r>
            <w:r>
              <w:t xml:space="preserve"> </w:t>
            </w:r>
            <w:hyperlink r:id="rId26">
              <w:r>
                <w:rPr>
                  <w:rStyle w:val="Hyperlink"/>
                </w:rPr>
                <w:t xml:space="preserve">https://pages.nist.gov/OSCAL/</w:t>
              </w:r>
            </w:hyperlink>
          </w:p>
        </w:tc>
      </w:tr>
    </w:tbl>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 Target="https://learn.microsoft.com/azure/sentinel/connect-data-sources" TargetMode="External" /><Relationship Type="http://schemas.openxmlformats.org/officeDocument/2006/relationships/hyperlink" Id="rId26" Target="https://pages.nist.gov/OSCAL/" TargetMode="External" /><Relationship Type="http://schemas.openxmlformats.org/officeDocument/2006/relationships/hyperlink" Id="rId21" Target="https://www.cisa.gov/cdm"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25" Target="https://www.fedramp.gov/marketplace/products/F1305072116/" TargetMode="External" /><Relationship Type="http://schemas.openxmlformats.org/officeDocument/2006/relationships/hyperlink" Id="rId24" Target="https://www.fedramp.gov/marketplace/products/F1607197917/" TargetMode="External" /><Relationship Type="http://schemas.openxmlformats.org/officeDocument/2006/relationships/hyperlink" Id="rId20" Target="https://www.whitehouse.gov/wp-content/uploads/2021/08/M-21-31-Improving-the-Federal-Governments-Investigative-and-Remediation-Capabilities-Related-to-Cybersecurity-Incidents.pdf" TargetMode="External" /></Relationships>
</file>

<file path=word/_rels/footnotes.xml.rels><?xml version="1.0" encoding="UTF-8"?><Relationships xmlns="http://schemas.openxmlformats.org/package/2006/relationships"><Relationship Type="http://schemas.openxmlformats.org/officeDocument/2006/relationships/hyperlink" Id="rId23" Target="https://learn.microsoft.com/azure/sentinel/connect-data-sources" TargetMode="External" /><Relationship Type="http://schemas.openxmlformats.org/officeDocument/2006/relationships/hyperlink" Id="rId26" Target="https://pages.nist.gov/OSCAL/" TargetMode="External" /><Relationship Type="http://schemas.openxmlformats.org/officeDocument/2006/relationships/hyperlink" Id="rId21" Target="https://www.cisa.gov/cdm"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25" Target="https://www.fedramp.gov/marketplace/products/F1305072116/" TargetMode="External" /><Relationship Type="http://schemas.openxmlformats.org/officeDocument/2006/relationships/hyperlink" Id="rId24" Target="https://www.fedramp.gov/marketplace/products/F1607197917/" TargetMode="External" /><Relationship Type="http://schemas.openxmlformats.org/officeDocument/2006/relationships/hyperlink" Id="rId20" Target="https://www.whitehouse.gov/wp-content/uploads/2021/08/M-21-31-Improving-the-Federal-Governments-Investigative-and-Remediation-Capabilities-Related-to-Cybersecurity-Inciden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III Book 07 — Federal Compliance — Multi-Cloud Evidence Fabric: One Compliance Picture from Many Stacks</dc:title>
  <dc:creator>Federal Cloud Services</dc:creator>
  <cp:keywords/>
  <dcterms:created xsi:type="dcterms:W3CDTF">2026-10-19T10:09:52Z</dcterms:created>
  <dcterms:modified xsi:type="dcterms:W3CDTF">2026-10-19T10:09:52Z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2026-07-09 12:41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The Unified Evidence Contract — Telemetry → CDM → FedRAMP 20x KSIs Across Every CSP, NEM, and OS</vt:lpwstr>
  </property>
  <property fmtid="{D5CDD505-2E9C-101B-9397-08002B2CF9AE}" pid="16" name="toc-title">
    <vt:lpwstr>Table of contents</vt:lpwstr>
  </property>
</Properties>
</file>