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II Book 00 — Federal Compliance — Volume II Overview: Data Platform</w:t>
      </w:r>
    </w:p>
    <w:p>
      <w:pPr>
        <w:pStyle w:val="Subtitle"/>
      </w:pPr>
      <w:r>
        <w:t xml:space="preserve">Volume Purpose — applying the identity and transport substrate to the database tier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1. Volume Purpose</w:t>
      </w:r>
    </w:p>
    <w:p>
      <w:pPr>
        <w:pStyle w:val="FirstParagraph"/>
      </w:pPr>
      <w:r>
        <w:rPr>
          <w:b/>
          <w:bCs/>
        </w:rPr>
        <w:t xml:space="preserve">Volume II applies the identity and transport substrate of Volume I to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tier.</w:t>
      </w:r>
      <w:r>
        <w:t xml:space="preserve"> </w:t>
      </w:r>
      <w:r>
        <w:t xml:space="preserve">The database layer carries the same credential vulnerabilities as the</w:t>
      </w:r>
      <w:r>
        <w:t xml:space="preserve"> </w:t>
      </w:r>
      <w:r>
        <w:t xml:space="preserve">identity and network layers — stored passwords, NTLM fallback, manual rotation,</w:t>
      </w:r>
      <w:r>
        <w:t xml:space="preserve"> </w:t>
      </w:r>
      <w:r>
        <w:t xml:space="preserve">no continuous evidence — and it is where most federal business systems keep</w:t>
      </w:r>
      <w:r>
        <w:t xml:space="preserve"> </w:t>
      </w:r>
      <w:r>
        <w:t xml:space="preserve">their crown jewels. This volume closes that surface: it eliminates stored SQL</w:t>
      </w:r>
      <w:r>
        <w:t xml:space="preserve"> </w:t>
      </w:r>
      <w:r>
        <w:t xml:space="preserve">credentials through Arc Managed Identity and token-based authentication, provides</w:t>
      </w:r>
      <w:r>
        <w:t xml:space="preserve"> </w:t>
      </w:r>
      <w:r>
        <w:t xml:space="preserve">the operational runbooks to execute the migration, and resolves the</w:t>
      </w:r>
      <w:r>
        <w:t xml:space="preserve"> </w:t>
      </w:r>
      <w:r>
        <w:rPr>
          <w:b/>
          <w:bCs/>
        </w:rPr>
        <w:t xml:space="preserve">network-physics constraints</w:t>
      </w:r>
      <w:r>
        <w:t xml:space="preserve"> </w:t>
      </w:r>
      <w:r>
        <w:t xml:space="preserve">— the speed-of-light propagation floor and</w:t>
      </w:r>
      <w:r>
        <w:t xml:space="preserve"> </w:t>
      </w:r>
      <w:r>
        <w:t xml:space="preserve">consistency-class alignment — that govern how far a database can be consolidated</w:t>
      </w:r>
      <w:r>
        <w:t xml:space="preserve"> </w:t>
      </w:r>
      <w:r>
        <w:t xml:space="preserve">before physics, not procurement, decides.</w:t>
      </w:r>
    </w:p>
    <w:p>
      <w:pPr>
        <w:pStyle w:val="BodyText"/>
      </w:pPr>
      <w:r>
        <w:t xml:space="preserve">The database is the</w:t>
      </w:r>
      <w:r>
        <w:t xml:space="preserve"> </w:t>
      </w:r>
      <w:r>
        <w:rPr>
          <w:b/>
          <w:bCs/>
        </w:rPr>
        <w:t xml:space="preserve">first large estate</w:t>
      </w:r>
      <w:r>
        <w:t xml:space="preserve"> </w:t>
      </w:r>
      <w:r>
        <w:t xml:space="preserve">where the series’ workload-identity</w:t>
      </w:r>
      <w:r>
        <w:t xml:space="preserve"> </w:t>
      </w:r>
      <w:r>
        <w:t xml:space="preserve">progression is executed end to end. It is therefore both an application of the</w:t>
      </w:r>
      <w:r>
        <w:t xml:space="preserve"> </w:t>
      </w:r>
      <w:r>
        <w:t xml:space="preserve">Volume I substrate and the first end-to-end test of whether the substrate holds</w:t>
      </w:r>
      <w:r>
        <w:t xml:space="preserve"> </w:t>
      </w:r>
      <w:r>
        <w:t xml:space="preserve">under real production load.</w:t>
      </w:r>
    </w:p>
    <w:bookmarkEnd w:id="10"/>
    <w:bookmarkStart w:id="11" w:name="books-in-this-volume"/>
    <w:p>
      <w:pPr>
        <w:pStyle w:val="Heading1"/>
      </w:pPr>
      <w:r>
        <w:t xml:space="preserve">2. Books in This Volume</w:t>
      </w:r>
    </w:p>
    <w:p>
      <w:pPr>
        <w:pStyle w:val="TableCaption"/>
      </w:pPr>
      <w:r>
        <w:t xml:space="preserve">Volume II — Data Platform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II — Data Platform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 Book 01</w:t>
            </w:r>
          </w:p>
        </w:tc>
        <w:tc>
          <w:tcPr/>
          <w:p>
            <w:pPr>
              <w:pStyle w:val="Compact"/>
            </w:pPr>
            <w:r>
              <w:t xml:space="preserve">SQL Server Authentication Modernization</w:t>
            </w:r>
          </w:p>
        </w:tc>
        <w:tc>
          <w:tcPr/>
          <w:p>
            <w:pPr>
              <w:pStyle w:val="Compact"/>
            </w:pPr>
            <w:r>
              <w:t xml:space="preserve">Arc Managed Identity replaces stored credentials; NTLM eliminated; Entra Conditional Access as the SQL perimeter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 Book 02</w:t>
            </w:r>
          </w:p>
        </w:tc>
        <w:tc>
          <w:tcPr/>
          <w:p>
            <w:pPr>
              <w:pStyle w:val="Compact"/>
            </w:pPr>
            <w:r>
              <w:t xml:space="preserve">SQL Server Implementation Guide</w:t>
            </w:r>
          </w:p>
        </w:tc>
        <w:tc>
          <w:tcPr/>
          <w:p>
            <w:pPr>
              <w:pStyle w:val="Compact"/>
            </w:pPr>
            <w:r>
              <w:t xml:space="preserve">The operational runbook — estate discovery, Arc deployment, login migration, NTLM remediation, continuous monitoring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 Book 03</w:t>
            </w:r>
          </w:p>
        </w:tc>
        <w:tc>
          <w:tcPr/>
          <w:p>
            <w:pPr>
              <w:pStyle w:val="Compact"/>
            </w:pPr>
            <w:r>
              <w:t xml:space="preserve">Database Consolidation &amp; Network Physics</w:t>
            </w:r>
          </w:p>
        </w:tc>
        <w:tc>
          <w:tcPr/>
          <w:p>
            <w:pPr>
              <w:pStyle w:val="Compact"/>
            </w:pPr>
            <w:r>
              <w:t xml:space="preserve">Speed-of-light floor, consistency-class-to-transport alignment, SD-WAN traffic separation for replication</w:t>
            </w:r>
          </w:p>
        </w:tc>
      </w:tr>
    </w:tbl>
    <w:bookmarkEnd w:id="11"/>
    <w:bookmarkStart w:id="12" w:name="how-this-volume-fits-the-program"/>
    <w:p>
      <w:pPr>
        <w:pStyle w:val="Heading1"/>
      </w:pPr>
      <w:r>
        <w:t xml:space="preserve">3. How This Volume Fits the Program</w:t>
      </w:r>
    </w:p>
    <w:p>
      <w:pPr>
        <w:pStyle w:val="FirstParagraph"/>
      </w:pPr>
      <w:r>
        <w:t xml:space="preserve">Volume II</w:t>
      </w:r>
      <w:r>
        <w:t xml:space="preserve"> </w:t>
      </w:r>
      <w:r>
        <w:rPr>
          <w:b/>
          <w:bCs/>
        </w:rPr>
        <w:t xml:space="preserve">consumes</w:t>
      </w:r>
      <w:r>
        <w:t xml:space="preserve"> </w:t>
      </w:r>
      <w:r>
        <w:t xml:space="preserve">the cryptographic identity of Vol I Book 03 (Certificates</w:t>
      </w:r>
      <w:r>
        <w:t xml:space="preserve"> </w:t>
      </w:r>
      <w:r>
        <w:t xml:space="preserve">&amp; Tokens) and the transport of Vol I Books 05–06, and it</w:t>
      </w:r>
      <w:r>
        <w:t xml:space="preserve"> </w:t>
      </w:r>
      <w:r>
        <w:rPr>
          <w:b/>
          <w:bCs/>
        </w:rPr>
        <w:t xml:space="preserve">feeds</w:t>
      </w:r>
      <w:r>
        <w:t xml:space="preserve"> </w:t>
      </w:r>
      <w:r>
        <w:t xml:space="preserve">two downstream</w:t>
      </w:r>
      <w:r>
        <w:t xml:space="preserve"> </w:t>
      </w:r>
      <w:r>
        <w:t xml:space="preserve">volumes: its DR runbooks are the Section-5 recovery procedures and its</w:t>
      </w:r>
      <w:r>
        <w:t xml:space="preserve"> </w:t>
      </w:r>
      <w:r>
        <w:t xml:space="preserve">geo-replicated replica architecture is the CP-6 alternate-storage content the</w:t>
      </w:r>
      <w:r>
        <w:t xml:space="preserve"> </w:t>
      </w:r>
      <w:r>
        <w:t xml:space="preserve">Business Continuity book (Vol IV Book 01) assembles into a CP-2 plan, and its</w:t>
      </w:r>
      <w:r>
        <w:t xml:space="preserve"> </w:t>
      </w:r>
      <w:r>
        <w:t xml:space="preserve">continuous SQL compliance record emits into the Multi-Cloud Evidence Fabric (Vol</w:t>
      </w:r>
      <w:r>
        <w:t xml:space="preserve"> </w:t>
      </w:r>
      <w:r>
        <w:t xml:space="preserve">III Book 07) like every other source. It is the bridge between the substrate and</w:t>
      </w:r>
      <w:r>
        <w:t xml:space="preserve"> </w:t>
      </w:r>
      <w:r>
        <w:t xml:space="preserve">the operational and governance volumes that follow.</w:t>
      </w:r>
    </w:p>
    <w:bookmarkEnd w:id="12"/>
    <w:bookmarkStart w:id="14" w:name="X8370e8c548a65b81ec17d9ad6cc210ed489b073"/>
    <w:p>
      <w:pPr>
        <w:pStyle w:val="Heading1"/>
      </w:pPr>
      <w:r>
        <w:t xml:space="preserve">4.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II Book 00 — Federal Compliance — Volume II Overview: Data Platform</dc:title>
  <dc:creator>Federal Cloud Services</dc:creator>
  <cp:keywords/>
  <dcterms:created xsi:type="dcterms:W3CDTF">2026-10-19T10:09:52Z</dcterms:created>
  <dcterms:modified xsi:type="dcterms:W3CDTF">2026-10-19T10:09:52Z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Volume Purpose — applying the identity and transport substrate to the database tier</vt:lpwstr>
  </property>
  <property fmtid="{D5CDD505-2E9C-101B-9397-08002B2CF9AE}" pid="16" name="toc-title">
    <vt:lpwstr>Table of contents</vt:lpwstr>
  </property>
</Properties>
</file>