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IV Book 00 — Federal Compliance — Volume IV Overview: Governance &amp; Assurance</w:t>
      </w:r>
    </w:p>
    <w:p>
      <w:pPr>
        <w:pStyle w:val="Subtitle"/>
      </w:pPr>
      <w:r>
        <w:t xml:space="preserve">Volume Purpose — turning technical evidence into a federal authorization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2026-07-19 20:20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16:20 ET</w:t>
      </w:r>
    </w:p>
    <w:bookmarkEnd w:id="9"/>
    <w:bookmarkStart w:id="10" w:name="volume-purpose"/>
    <w:p>
      <w:pPr>
        <w:pStyle w:val="Heading1"/>
      </w:pPr>
      <w:r>
        <w:t xml:space="preserve">1. Volume Purpose</w:t>
      </w:r>
    </w:p>
    <w:p>
      <w:pPr>
        <w:pStyle w:val="FirstParagraph"/>
      </w:pPr>
      <w:r>
        <w:rPr>
          <w:b/>
          <w:bCs/>
        </w:rPr>
        <w:t xml:space="preserve">Volume IV turns the technical evidence of Volumes I–III into a federal</w:t>
      </w:r>
      <w:r>
        <w:rPr>
          <w:b/>
          <w:bCs/>
        </w:rPr>
        <w:t xml:space="preserve"> </w:t>
      </w:r>
      <w:r>
        <w:rPr>
          <w:b/>
          <w:bCs/>
        </w:rPr>
        <w:t xml:space="preserve">authorization.</w:t>
      </w:r>
      <w:r>
        <w:t xml:space="preserve"> </w:t>
      </w:r>
      <w:r>
        <w:t xml:space="preserve">The infrastructure volumes produce capabilities and</w:t>
      </w:r>
      <w:r>
        <w:t xml:space="preserve"> </w:t>
      </w:r>
      <w:r>
        <w:t xml:space="preserve">machine-readable evidence; Volume IV supplies the layer that infrastructure alone</w:t>
      </w:r>
      <w:r>
        <w:t xml:space="preserve"> </w:t>
      </w:r>
      <w:r>
        <w:t xml:space="preserve">cannot — the</w:t>
      </w:r>
      <w:r>
        <w:t xml:space="preserve"> </w:t>
      </w:r>
      <w:r>
        <w:rPr>
          <w:b/>
          <w:bCs/>
        </w:rPr>
        <w:t xml:space="preserve">documents, signatures, processes, and the OSCAL package</w:t>
      </w:r>
      <w:r>
        <w:t xml:space="preserve"> </w:t>
      </w:r>
      <w:r>
        <w:t xml:space="preserve">that an</w:t>
      </w:r>
      <w:r>
        <w:t xml:space="preserve"> </w:t>
      </w:r>
      <w:r>
        <w:t xml:space="preserve">authorizing official and an assessor actually consume. The volume’s books carry</w:t>
      </w:r>
      <w:r>
        <w:t xml:space="preserve"> </w:t>
      </w:r>
      <w:r>
        <w:t xml:space="preserve">the closures for the control families that are satisfied by artifacts rather than</w:t>
      </w:r>
      <w:r>
        <w:t xml:space="preserve"> </w:t>
      </w:r>
      <w:r>
        <w:t xml:space="preserve">configuration — contingency planning (CP), supply-chain risk (SR), program</w:t>
      </w:r>
      <w:r>
        <w:t xml:space="preserve"> </w:t>
      </w:r>
      <w:r>
        <w:t xml:space="preserve">management (PM), privacy/PII processing (PT), awareness and training (AT), and</w:t>
      </w:r>
      <w:r>
        <w:t xml:space="preserve"> </w:t>
      </w:r>
      <w:r>
        <w:t xml:space="preserve">assessment/authorization/continuous monitoring (CA) — registered per book in the</w:t>
      </w:r>
      <w:r>
        <w:t xml:space="preserve"> </w:t>
      </w:r>
      <w:r>
        <w:t xml:space="preserve">compliance spine as each book is finalized.</w:t>
      </w:r>
    </w:p>
    <w:p>
      <w:pPr>
        <w:pStyle w:val="BodyText"/>
      </w:pPr>
      <w:r>
        <w:t xml:space="preserve">The volume’s recurring lesson is the series’ sharpest governance point:</w:t>
      </w:r>
      <w:r>
        <w:t xml:space="preserve"> </w:t>
      </w:r>
      <w:r>
        <w:rPr>
          <w:i/>
          <w:iCs/>
        </w:rPr>
        <w:t xml:space="preserve">a</w:t>
      </w:r>
      <w:r>
        <w:rPr>
          <w:i/>
          <w:iCs/>
        </w:rPr>
        <w:t xml:space="preserve"> </w:t>
      </w:r>
      <w:r>
        <w:rPr>
          <w:i/>
          <w:iCs/>
        </w:rPr>
        <w:t xml:space="preserve">perfectly configured control that cannot produce a signed, tested, machine-</w:t>
      </w:r>
      <w:r>
        <w:rPr>
          <w:i/>
          <w:iCs/>
        </w:rPr>
        <w:t xml:space="preserve"> </w:t>
      </w:r>
      <w:r>
        <w:rPr>
          <w:i/>
          <w:iCs/>
        </w:rPr>
        <w:t xml:space="preserve">readable artifact is, from the assessor’s chair, an open finding.</w:t>
      </w:r>
      <w:r>
        <w:t xml:space="preserve"> </w:t>
      </w:r>
      <w:r>
        <w:t xml:space="preserve">Volume IV</w:t>
      </w:r>
      <w:r>
        <w:t xml:space="preserve"> </w:t>
      </w:r>
      <w:r>
        <w:t xml:space="preserve">manufactures the artifacts.</w:t>
      </w:r>
    </w:p>
    <w:bookmarkEnd w:id="10"/>
    <w:bookmarkStart w:id="11" w:name="books-in-this-volume"/>
    <w:p>
      <w:pPr>
        <w:pStyle w:val="Heading1"/>
      </w:pPr>
      <w:r>
        <w:t xml:space="preserve">2. Books in This Volume</w:t>
      </w:r>
    </w:p>
    <w:p>
      <w:pPr>
        <w:pStyle w:val="TableCaption"/>
      </w:pPr>
      <w:r>
        <w:t xml:space="preserve">Volume IV — Governance &amp; Assurance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Volume IV — Governance &amp; Assuranc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IV Book 01</w:t>
            </w:r>
          </w:p>
        </w:tc>
        <w:tc>
          <w:tcPr/>
          <w:p>
            <w:pPr>
              <w:pStyle w:val="Compact"/>
            </w:pPr>
            <w:r>
              <w:t xml:space="preserve">Business Continuity</w:t>
            </w:r>
          </w:p>
        </w:tc>
        <w:tc>
          <w:tcPr/>
          <w:p>
            <w:pPr>
              <w:pStyle w:val="Compact"/>
            </w:pPr>
            <w:r>
              <w:t xml:space="preserve">CP-2 contingency plan, BIA, DR validation — the plan the runbooks assume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IV Book 02</w:t>
            </w:r>
          </w:p>
        </w:tc>
        <w:tc>
          <w:tcPr/>
          <w:p>
            <w:pPr>
              <w:pStyle w:val="Compact"/>
            </w:pPr>
            <w:r>
              <w:t xml:space="preserve">Supply Chain Risk Management</w:t>
            </w:r>
          </w:p>
        </w:tc>
        <w:tc>
          <w:tcPr/>
          <w:p>
            <w:pPr>
              <w:pStyle w:val="Compact"/>
            </w:pPr>
            <w:r>
              <w:t xml:space="preserve">SBOM / VDR / VEX pipeline under BOD 26-04; SR-family closure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IV Book 03</w:t>
            </w:r>
          </w:p>
        </w:tc>
        <w:tc>
          <w:tcPr/>
          <w:p>
            <w:pPr>
              <w:pStyle w:val="Compact"/>
            </w:pPr>
            <w:r>
              <w:t xml:space="preserve">Program Management &amp; Governance</w:t>
            </w:r>
          </w:p>
        </w:tc>
        <w:tc>
          <w:tcPr/>
          <w:p>
            <w:pPr>
              <w:pStyle w:val="Compact"/>
            </w:pPr>
            <w:r>
              <w:t xml:space="preserve">ISPP, POA&amp;M, SCRM charter, RACI — the PM-family governance artifacts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IV Book 04</w:t>
            </w:r>
          </w:p>
        </w:tc>
        <w:tc>
          <w:tcPr/>
          <w:p>
            <w:pPr>
              <w:pStyle w:val="Compact"/>
            </w:pPr>
            <w:r>
              <w:t xml:space="preserve">PII Processing &amp; Transparency</w:t>
            </w:r>
          </w:p>
        </w:tc>
        <w:tc>
          <w:tcPr/>
          <w:p>
            <w:pPr>
              <w:pStyle w:val="Compact"/>
            </w:pPr>
            <w:r>
              <w:t xml:space="preserve">Privacy program, authority-to-process, SORN/PIA — the PT family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IV Book 05</w:t>
            </w:r>
          </w:p>
        </w:tc>
        <w:tc>
          <w:tcPr/>
          <w:p>
            <w:pPr>
              <w:pStyle w:val="Compact"/>
            </w:pPr>
            <w:r>
              <w:t xml:space="preserve">Cybersecurity Training &amp; Awareness</w:t>
            </w:r>
          </w:p>
        </w:tc>
        <w:tc>
          <w:tcPr/>
          <w:p>
            <w:pPr>
              <w:pStyle w:val="Compact"/>
            </w:pPr>
            <w:r>
              <w:t xml:space="preserve">Role-based curriculum + machine-readable training-effectiveness evidence (AT)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IV Book 06</w:t>
            </w:r>
          </w:p>
        </w:tc>
        <w:tc>
          <w:tcPr/>
          <w:p>
            <w:pPr>
              <w:pStyle w:val="Compact"/>
            </w:pPr>
            <w:r>
              <w:t xml:space="preserve">Authorization Package &amp; ConMon</w:t>
            </w:r>
          </w:p>
        </w:tc>
        <w:tc>
          <w:tcPr/>
          <w:p>
            <w:pPr>
              <w:pStyle w:val="Compact"/>
            </w:pPr>
            <w:r>
              <w:t xml:space="preserve">The OSCAL AP/AR/POA&amp;M bundle and the continuous-monitoring program (CA)</w:t>
            </w:r>
          </w:p>
        </w:tc>
      </w:tr>
    </w:tbl>
    <w:bookmarkEnd w:id="11"/>
    <w:bookmarkStart w:id="12" w:name="how-this-volume-fits-the-program"/>
    <w:p>
      <w:pPr>
        <w:pStyle w:val="Heading1"/>
      </w:pPr>
      <w:r>
        <w:t xml:space="preserve">3. How This Volume Fits the Program</w:t>
      </w:r>
    </w:p>
    <w:p>
      <w:pPr>
        <w:pStyle w:val="FirstParagraph"/>
      </w:pPr>
      <w:r>
        <w:t xml:space="preserve">Volume IV is the</w:t>
      </w:r>
      <w:r>
        <w:t xml:space="preserve"> </w:t>
      </w:r>
      <w:r>
        <w:rPr>
          <w:b/>
          <w:bCs/>
        </w:rPr>
        <w:t xml:space="preserve">capstone</w:t>
      </w:r>
      <w:r>
        <w:t xml:space="preserve">. It consumes the correlated evidence stream from</w:t>
      </w:r>
      <w:r>
        <w:t xml:space="preserve"> </w:t>
      </w:r>
      <w:r>
        <w:t xml:space="preserve">the Multi-Cloud Evidence Fabric (Vol III Book 07) and the continuity, supply-</w:t>
      </w:r>
      <w:r>
        <w:t xml:space="preserve"> </w:t>
      </w:r>
      <w:r>
        <w:t xml:space="preserve">chain, and training evidence its own books generate, and assembles them into the</w:t>
      </w:r>
      <w:r>
        <w:t xml:space="preserve"> </w:t>
      </w:r>
      <w:r>
        <w:t xml:space="preserve">authorization package (Vol IV Book 06) that carries the whole program to an</w:t>
      </w:r>
      <w:r>
        <w:t xml:space="preserve"> </w:t>
      </w:r>
      <w:r>
        <w:t xml:space="preserve">authorization decision. Where Volumes I–III demonstrate that the controls are</w:t>
      </w:r>
      <w:r>
        <w:t xml:space="preserve"> </w:t>
      </w:r>
      <w:r>
        <w:rPr>
          <w:i/>
          <w:iCs/>
        </w:rPr>
        <w:t xml:space="preserve">closed</w:t>
      </w:r>
      <w:r>
        <w:t xml:space="preserve">, Volume IV demonstrates it in the idiom — OSCAL, KSI, POA&amp;M — that</w:t>
      </w:r>
      <w:r>
        <w:t xml:space="preserve"> </w:t>
      </w:r>
      <w:r>
        <w:t xml:space="preserve">FedRAMP 20x and the agency’s authorizing official require.</w:t>
      </w:r>
    </w:p>
    <w:bookmarkEnd w:id="12"/>
    <w:bookmarkStart w:id="14" w:name="X8370e8c548a65b81ec17d9ad6cc210ed489b073"/>
    <w:p>
      <w:pPr>
        <w:pStyle w:val="Heading1"/>
      </w:pPr>
      <w:r>
        <w:t xml:space="preserve">4. Where This Volume’s Evidence Lands — Volume X (Optional)</w:t>
      </w:r>
    </w:p>
    <w:p>
      <w:pPr>
        <w:pStyle w:val="FirstParagraph"/>
      </w:pPr>
      <w:r>
        <w:t xml:space="preserve">Where the closures and evidence this volume produces bind to the governance</w:t>
      </w:r>
      <w:r>
        <w:t xml:space="preserve"> </w:t>
      </w:r>
      <w:r>
        <w:t xml:space="preserve">substrate — the conformance layer, the surface slots, and the evidence</w:t>
      </w:r>
      <w:r>
        <w:t xml:space="preserve"> </w:t>
      </w:r>
      <w:r>
        <w:t xml:space="preserve">contract — is documented once, for the whole series, in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Vol X Book 00 — Governance-Substrate Integration</w:t>
        </w:r>
      </w:hyperlink>
      <w:r>
        <w:t xml:space="preserve">.</w:t>
      </w:r>
      <w:r>
        <w:t xml:space="preserve"> </w:t>
      </w:r>
      <w:r>
        <w:t xml:space="preserve">The binding is</w:t>
      </w:r>
      <w:r>
        <w:t xml:space="preserve"> </w:t>
      </w:r>
      <w:r>
        <w:rPr>
          <w:b/>
          <w:bCs/>
        </w:rPr>
        <w:t xml:space="preserve">optional and separable</w:t>
      </w:r>
      <w:r>
        <w:t xml:space="preserve">: this volume, and the series it</w:t>
      </w:r>
      <w:r>
        <w:t xml:space="preserve"> </w:t>
      </w:r>
      <w:r>
        <w:t xml:space="preserve">belongs to, stands complete at FedRAMP Moderate with no substrate engagement</w:t>
      </w:r>
      <w:r>
        <w:t xml:space="preserve"> </w:t>
      </w:r>
      <w:r>
        <w:t xml:space="preserve">at all; adopting the substrate adds machine-checked scoring and drift-gating</w:t>
      </w:r>
      <w:r>
        <w:t xml:space="preserve"> </w:t>
      </w:r>
      <w:r>
        <w:t xml:space="preserve">on top of what is already closed, and can be adopted later — or never —</w:t>
      </w:r>
      <w:r>
        <w:t xml:space="preserve"> </w:t>
      </w:r>
      <w:r>
        <w:t xml:space="preserve">without rework.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Vol_X_Book_00_Governance_Substrate_Integration_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Vol_X_Book_00_Governance_Substrate_Integration_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IV Book 00 — Federal Compliance — Volume IV Overview: Governance &amp; Assurance</dc:title>
  <dc:creator>Federal Cloud Services</dc:creator>
  <cp:keywords/>
  <dcterms:created xsi:type="dcterms:W3CDTF">2026-10-19T10:09:55Z</dcterms:created>
  <dcterms:modified xsi:type="dcterms:W3CDTF">2026-10-19T10:09:55Z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2026-07-19 20:20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Volume Purpose — turning technical evidence into a federal authorization</vt:lpwstr>
  </property>
  <property fmtid="{D5CDD505-2E9C-101B-9397-08002B2CF9AE}" pid="16" name="toc-title">
    <vt:lpwstr>Table of contents</vt:lpwstr>
  </property>
</Properties>
</file>