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IV Book 02 — Federal Compliance — Supply Chain Risk Management</w:t>
      </w:r>
    </w:p>
    <w:p>
      <w:pPr>
        <w:pStyle w:val="Subtitle"/>
      </w:pPr>
      <w:r>
        <w:t xml:space="preserve">Supply Chain Risk Management: SBOM, VDR, and VEX Framework (EO 14028 §4 / NIST SP 800-161 / SR-family), with BOD 26-04 remediation SLAs</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bookmarkStart w:id="10" w:name="what-this-document-addresses"/>
    <w:p>
      <w:pPr>
        <w:pStyle w:val="Heading2"/>
      </w:pPr>
      <w:r>
        <w:t xml:space="preserve">0.2 What This Document Addresses</w:t>
      </w:r>
    </w:p>
    <w:p>
      <w:pPr>
        <w:pStyle w:val="FirstParagraph"/>
      </w:pPr>
      <w:r>
        <w:t xml:space="preserve">Supply chain risk is the fastest-growing attack vector in the federal technology</w:t>
      </w:r>
      <w:r>
        <w:t xml:space="preserve"> </w:t>
      </w:r>
      <w:r>
        <w:t xml:space="preserve">landscape. Executive Order 14028 (May 2021) §4, NIST SP 800-161r1, OMB M-22-18</w:t>
      </w:r>
      <w:r>
        <w:t xml:space="preserve"> </w:t>
      </w:r>
      <w:r>
        <w:t xml:space="preserve">and M-23-16, and the NIST SP 800-53 SR control family together establish a</w:t>
      </w:r>
      <w:r>
        <w:t xml:space="preserve"> </w:t>
      </w:r>
      <w:r>
        <w:t xml:space="preserve">mandatory framework: agencies must be able to enumerate every software component</w:t>
      </w:r>
      <w:r>
        <w:t xml:space="preserve"> </w:t>
      </w:r>
      <w:r>
        <w:t xml:space="preserve">in their production systems, disclose vulnerability status for those components,</w:t>
      </w:r>
      <w:r>
        <w:t xml:space="preserve"> </w:t>
      </w:r>
      <w:r>
        <w:t xml:space="preserve">and demonstrate that exploitable vulnerabilities are tracked, triaged, and</w:t>
      </w:r>
      <w:r>
        <w:t xml:space="preserve"> </w:t>
      </w:r>
      <w:r>
        <w:t xml:space="preserve">remediated. CISA Binding Operational Directive 26-04 governs the last of these —</w:t>
      </w:r>
      <w:r>
        <w:t xml:space="preserve"> </w:t>
      </w:r>
      <w:r>
        <w:t xml:space="preserve">the risk-tiered</w:t>
      </w:r>
      <w:r>
        <w:t xml:space="preserve"> </w:t>
      </w:r>
      <w:r>
        <w:rPr>
          <w:i/>
          <w:iCs/>
        </w:rPr>
        <w:t xml:space="preserve">remediation</w:t>
      </w:r>
      <w:r>
        <w:t xml:space="preserve"> </w:t>
      </w:r>
      <w:r>
        <w:t xml:space="preserve">timelines — but does not itself mandate the SBOM or</w:t>
      </w:r>
      <w:r>
        <w:t xml:space="preserve"> </w:t>
      </w:r>
      <w:r>
        <w:t xml:space="preserve">disclosure artifacts; those trace to EO 14028 §4 and NIST SP 800-161.</w:t>
      </w:r>
    </w:p>
    <w:p>
      <w:pPr>
        <w:pStyle w:val="BodyText"/>
      </w:pPr>
      <w:r>
        <w:t xml:space="preserve">Two independent things converge on</w:t>
      </w:r>
      <w:r>
        <w:t xml:space="preserve"> </w:t>
      </w:r>
      <w:r>
        <w:rPr>
          <w:b/>
          <w:bCs/>
        </w:rPr>
        <w:t xml:space="preserve">December 7, 2026</w:t>
      </w:r>
      <w:r>
        <w:t xml:space="preserve">, and this document keeps</w:t>
      </w:r>
      <w:r>
        <w:t xml:space="preserve"> </w:t>
      </w:r>
      <w:r>
        <w:t xml:space="preserve">them distinct:</w:t>
      </w:r>
    </w:p>
    <w:p>
      <w:pPr>
        <w:pStyle w:val="Compact"/>
        <w:numPr>
          <w:ilvl w:val="0"/>
          <w:numId w:val="1001"/>
        </w:numPr>
      </w:pPr>
      <w:r>
        <w:rPr>
          <w:b/>
          <w:bCs/>
        </w:rPr>
        <w:t xml:space="preserve">The supply-chain evidence artifacts</w:t>
      </w:r>
      <w:r>
        <w:t xml:space="preserve"> </w:t>
      </w:r>
      <w:r>
        <w:t xml:space="preserve">(below), mandated by EO 14028 §4 /</w:t>
      </w:r>
      <w:r>
        <w:t xml:space="preserve"> </w:t>
      </w:r>
      <w:r>
        <w:t xml:space="preserve">NIST SP 800-161 / the SR family and expressed in the OWASP CycloneDX formats.</w:t>
      </w:r>
    </w:p>
    <w:p>
      <w:pPr>
        <w:pStyle w:val="Compact"/>
        <w:numPr>
          <w:ilvl w:val="0"/>
          <w:numId w:val="1001"/>
        </w:numPr>
      </w:pPr>
      <w:r>
        <w:rPr>
          <w:b/>
          <w:bCs/>
        </w:rPr>
        <w:t xml:space="preserve">FedRAMP’s Vulnerability Detection &amp; Response (VDR) and Vulnerability</w:t>
      </w:r>
      <w:r>
        <w:rPr>
          <w:b/>
          <w:bCs/>
        </w:rPr>
        <w:t xml:space="preserve"> </w:t>
      </w:r>
      <w:r>
        <w:rPr>
          <w:b/>
          <w:bCs/>
        </w:rPr>
        <w:t xml:space="preserve">Evaluation &amp; Reporting (VER) rule sets</w:t>
      </w:r>
      <w:r>
        <w:t xml:space="preserve"> </w:t>
      </w:r>
      <w:r>
        <w:t xml:space="preserve">(Public Notice NTC-0014), which</w:t>
      </w:r>
      <w:r>
        <w:t xml:space="preserve"> </w:t>
      </w:r>
      <w:r>
        <w:t xml:space="preserve">become mandatory for FedRAMP offerings on the same date BOD 26-04’s</w:t>
      </w:r>
      <w:r>
        <w:t xml:space="preserve"> </w:t>
      </w:r>
      <w:r>
        <w:t xml:space="preserve">remediation timelines take effect. Note the acronym collision: FedRAMP’s</w:t>
      </w:r>
      <w:r>
        <w:t xml:space="preserve"> </w:t>
      </w:r>
      <w:r>
        <w:t xml:space="preserve">“VDR/VER”</w:t>
      </w:r>
      <w:r>
        <w:t xml:space="preserve"> </w:t>
      </w:r>
      <w:r>
        <w:t xml:space="preserve">are</w:t>
      </w:r>
      <w:r>
        <w:t xml:space="preserve"> </w:t>
      </w:r>
      <w:r>
        <w:rPr>
          <w:i/>
          <w:iCs/>
        </w:rPr>
        <w:t xml:space="preserve">rule sets</w:t>
      </w:r>
      <w:r>
        <w:t xml:space="preserve">, distinct from the OWASP CycloneDX</w:t>
      </w:r>
      <w:r>
        <w:t xml:space="preserve"> </w:t>
      </w:r>
      <w:r>
        <w:rPr>
          <w:i/>
          <w:iCs/>
        </w:rPr>
        <w:t xml:space="preserve">Vulnerability</w:t>
      </w:r>
      <w:r>
        <w:rPr>
          <w:i/>
          <w:iCs/>
        </w:rPr>
        <w:t xml:space="preserve"> </w:t>
      </w:r>
      <w:r>
        <w:rPr>
          <w:i/>
          <w:iCs/>
        </w:rPr>
        <w:t xml:space="preserve">Disclosure Report</w:t>
      </w:r>
      <w:r>
        <w:t xml:space="preserve"> </w:t>
      </w:r>
      <w:r>
        <w:t xml:space="preserve">this pipeline generates.</w:t>
      </w:r>
    </w:p>
    <w:p>
      <w:pPr>
        <w:pStyle w:val="FirstParagraph"/>
      </w:pPr>
      <w:r>
        <w:t xml:space="preserve">The supply-chain evidence framework requires:</w:t>
      </w:r>
    </w:p>
    <w:p>
      <w:pPr>
        <w:pStyle w:val="Compact"/>
        <w:numPr>
          <w:ilvl w:val="0"/>
          <w:numId w:val="1002"/>
        </w:numPr>
      </w:pPr>
      <w:r>
        <w:t xml:space="preserve">A</w:t>
      </w:r>
      <w:r>
        <w:t xml:space="preserve"> </w:t>
      </w:r>
      <w:r>
        <w:rPr>
          <w:b/>
          <w:bCs/>
        </w:rPr>
        <w:t xml:space="preserve">Software Bill of Materials (SBOM)</w:t>
      </w:r>
      <w:r>
        <w:t xml:space="preserve"> </w:t>
      </w:r>
      <w:r>
        <w:t xml:space="preserve">for every system — a machine-readable</w:t>
      </w:r>
      <w:r>
        <w:t xml:space="preserve"> </w:t>
      </w:r>
      <w:r>
        <w:t xml:space="preserve">inventory of every software component, version, and supplier in production</w:t>
      </w:r>
      <w:r>
        <w:t xml:space="preserve"> </w:t>
      </w:r>
      <w:r>
        <w:t xml:space="preserve">(EO 14028 §4; CISA/NTIA minimum elements)</w:t>
      </w:r>
    </w:p>
    <w:p>
      <w:pPr>
        <w:pStyle w:val="Compact"/>
        <w:numPr>
          <w:ilvl w:val="0"/>
          <w:numId w:val="1002"/>
        </w:numPr>
      </w:pPr>
      <w:r>
        <w:t xml:space="preserve">A</w:t>
      </w:r>
      <w:r>
        <w:t xml:space="preserve"> </w:t>
      </w:r>
      <w:r>
        <w:rPr>
          <w:b/>
          <w:bCs/>
        </w:rPr>
        <w:t xml:space="preserve">Vulnerability Disclosure Report (VDR)</w:t>
      </w:r>
      <w:r>
        <w:t xml:space="preserve"> </w:t>
      </w:r>
      <w:r>
        <w:t xml:space="preserve">— the OWASP CycloneDX artifact</w:t>
      </w:r>
      <w:r>
        <w:t xml:space="preserve"> </w:t>
      </w:r>
      <w:r>
        <w:t xml:space="preserve">enumerating known vulnerabilities in SBOM components (NIST SP 800-161)</w:t>
      </w:r>
    </w:p>
    <w:p>
      <w:pPr>
        <w:pStyle w:val="Compact"/>
        <w:numPr>
          <w:ilvl w:val="0"/>
          <w:numId w:val="1002"/>
        </w:numPr>
      </w:pPr>
      <w:r>
        <w:t xml:space="preserve">A</w:t>
      </w:r>
      <w:r>
        <w:t xml:space="preserve"> </w:t>
      </w:r>
      <w:r>
        <w:rPr>
          <w:b/>
          <w:bCs/>
        </w:rPr>
        <w:t xml:space="preserve">Vulnerability Exploitability eXchange (VEX)</w:t>
      </w:r>
      <w:r>
        <w:t xml:space="preserve"> </w:t>
      </w:r>
      <w:r>
        <w:t xml:space="preserve">document — a machine-readable</w:t>
      </w:r>
      <w:r>
        <w:t xml:space="preserve"> </w:t>
      </w:r>
      <w:r>
        <w:t xml:space="preserve">assertion for each CVE: is this vulnerability exploitable in this product, in</w:t>
      </w:r>
      <w:r>
        <w:t xml:space="preserve"> </w:t>
      </w:r>
      <w:r>
        <w:t xml:space="preserve">this deployment context?</w:t>
      </w:r>
    </w:p>
    <w:p>
      <w:pPr>
        <w:pStyle w:val="FirstParagraph"/>
      </w:pPr>
      <w:r>
        <w:t xml:space="preserve">This document establishes the technical architecture, pipeline, and governance</w:t>
      </w:r>
      <w:r>
        <w:t xml:space="preserve"> </w:t>
      </w:r>
      <w:r>
        <w:t xml:space="preserve">process for all three. It closes eight NIST SP 800-53 Rev 5 SR family controls</w:t>
      </w:r>
      <w:r>
        <w:t xml:space="preserve"> </w:t>
      </w:r>
      <w:r>
        <w:t xml:space="preserve">and provides the evidence contract that upgrades KSI-011 through KSI-014 from</w:t>
      </w:r>
      <w:r>
        <w:t xml:space="preserve"> </w:t>
      </w:r>
      <w:r>
        <w:t xml:space="preserve">scaffold to evaluable status.</w:t>
      </w:r>
    </w:p>
    <w:p>
      <w:r>
        <w:pict>
          <v:rect style="width:0;height:1.5pt" o:hralign="center" o:hrstd="t" o:hr="t"/>
        </w:pict>
      </w:r>
    </w:p>
    <w:bookmarkEnd w:id="10"/>
    <w:bookmarkStart w:id="11" w:name="X78f3f86957882441686c2dc7f3fb5812e9b40d0"/>
    <w:p>
      <w:pPr>
        <w:pStyle w:val="Heading1"/>
      </w:pPr>
      <w:r>
        <w:t xml:space="preserve">1. The Supply-Chain Evidence Framework and the December 7, 2026 Deadline</w:t>
      </w:r>
    </w:p>
    <w:p>
      <w:pPr>
        <w:pStyle w:val="FirstParagraph"/>
      </w:pPr>
      <w:r>
        <w:t xml:space="preserve">The supply-chain evidence artifacts are mandated by EO 14028 §4, NIST SP 800-161,</w:t>
      </w:r>
      <w:r>
        <w:t xml:space="preserve"> </w:t>
      </w:r>
      <w:r>
        <w:t xml:space="preserve">and the SR control family —</w:t>
      </w:r>
      <w:r>
        <w:t xml:space="preserve"> </w:t>
      </w:r>
      <w:r>
        <w:rPr>
          <w:b/>
          <w:bCs/>
        </w:rPr>
        <w:t xml:space="preserve">not</w:t>
      </w:r>
      <w:r>
        <w:t xml:space="preserve"> </w:t>
      </w:r>
      <w:r>
        <w:t xml:space="preserve">by BOD 26-04 — and are produced in three</w:t>
      </w:r>
      <w:r>
        <w:t xml:space="preserve"> </w:t>
      </w:r>
      <w:r>
        <w:t xml:space="preserve">CycloneDX evidence tiers:</w:t>
      </w:r>
    </w:p>
    <w:p>
      <w:pPr>
        <w:pStyle w:val="TableCaption"/>
      </w:pPr>
      <w:r>
        <w:t xml:space="preserve">Supply-chain evidence tiers</w:t>
      </w:r>
    </w:p>
    <w:tbl>
      <w:tblPr>
        <w:tblStyle w:val="Table"/>
        <w:tblW w:type="pct" w:w="5000"/>
        <w:tblLayout w:type="fixed"/>
        <w:tblLook w:firstRow="1" w:lastRow="0" w:firstColumn="0" w:lastColumn="0" w:noHBand="0" w:noVBand="0" w:val="0020"/>
        <w:tblCaption w:val="Supply-chain evidence tiers"/>
      </w:tblPr>
      <w:tblGrid>
        <w:gridCol w:w="1760"/>
        <w:gridCol w:w="2933"/>
        <w:gridCol w:w="3226"/>
      </w:tblGrid>
      <w:tr>
        <w:trPr>
          <w:tblHeader w:val="on"/>
        </w:trPr>
        <w:tc>
          <w:tcPr/>
          <w:p>
            <w:pPr>
              <w:pStyle w:val="Compact"/>
            </w:pPr>
            <w:r>
              <w:t xml:space="preserve">Tier</w:t>
            </w:r>
          </w:p>
        </w:tc>
        <w:tc>
          <w:tcPr/>
          <w:p>
            <w:pPr>
              <w:pStyle w:val="Compact"/>
            </w:pPr>
            <w:r>
              <w:t xml:space="preserve">Artifact</w:t>
            </w:r>
          </w:p>
        </w:tc>
        <w:tc>
          <w:tcPr/>
          <w:p>
            <w:pPr>
              <w:pStyle w:val="Compact"/>
            </w:pPr>
            <w:r>
              <w:t xml:space="preserve">Authority</w:t>
            </w:r>
          </w:p>
        </w:tc>
      </w:tr>
      <w:tr>
        <w:tc>
          <w:tcPr/>
          <w:p>
            <w:pPr>
              <w:pStyle w:val="Compact"/>
            </w:pPr>
            <w:r>
              <w:rPr>
                <w:b/>
                <w:bCs/>
              </w:rPr>
              <w:t xml:space="preserve">Tier 1</w:t>
            </w:r>
          </w:p>
        </w:tc>
        <w:tc>
          <w:tcPr/>
          <w:p>
            <w:pPr>
              <w:pStyle w:val="Compact"/>
            </w:pPr>
            <w:r>
              <w:t xml:space="preserve">SBOM present for all production systems</w:t>
            </w:r>
          </w:p>
        </w:tc>
        <w:tc>
          <w:tcPr/>
          <w:p>
            <w:pPr>
              <w:pStyle w:val="Compact"/>
            </w:pPr>
            <w:r>
              <w:t xml:space="preserve">EO 14028 §4; CISA/NTIA minimum elements</w:t>
            </w:r>
          </w:p>
        </w:tc>
      </w:tr>
      <w:tr>
        <w:tc>
          <w:tcPr/>
          <w:p>
            <w:pPr>
              <w:pStyle w:val="Compact"/>
            </w:pPr>
            <w:r>
              <w:rPr>
                <w:b/>
                <w:bCs/>
              </w:rPr>
              <w:t xml:space="preserve">Tier 2</w:t>
            </w:r>
          </w:p>
        </w:tc>
        <w:tc>
          <w:tcPr/>
          <w:p>
            <w:pPr>
              <w:pStyle w:val="Compact"/>
            </w:pPr>
            <w:r>
              <w:t xml:space="preserve">VDR present — CycloneDX Vulnerability Disclosure Report for all SBOM components</w:t>
            </w:r>
          </w:p>
        </w:tc>
        <w:tc>
          <w:tcPr/>
          <w:p>
            <w:pPr>
              <w:pStyle w:val="Compact"/>
            </w:pPr>
            <w:r>
              <w:t xml:space="preserve">NIST SP 800-161; OWASP CycloneDX</w:t>
            </w:r>
          </w:p>
        </w:tc>
      </w:tr>
      <w:tr>
        <w:tc>
          <w:tcPr/>
          <w:p>
            <w:pPr>
              <w:pStyle w:val="Compact"/>
            </w:pPr>
            <w:r>
              <w:rPr>
                <w:b/>
                <w:bCs/>
              </w:rPr>
              <w:t xml:space="preserve">Tier 3</w:t>
            </w:r>
          </w:p>
        </w:tc>
        <w:tc>
          <w:tcPr/>
          <w:p>
            <w:pPr>
              <w:pStyle w:val="Compact"/>
            </w:pPr>
            <w:r>
              <w:t xml:space="preserve">VEX present — exploitability assertions for all CVEs in the VDR</w:t>
            </w:r>
          </w:p>
        </w:tc>
        <w:tc>
          <w:tcPr/>
          <w:p>
            <w:pPr>
              <w:pStyle w:val="Compact"/>
            </w:pPr>
            <w:r>
              <w:t xml:space="preserve">NIST SP 800-161; OWASP CycloneDX</w:t>
            </w:r>
          </w:p>
        </w:tc>
      </w:tr>
    </w:tbl>
    <w:p>
      <w:pPr>
        <w:pStyle w:val="BodyText"/>
      </w:pPr>
      <w:r>
        <w:t xml:space="preserve">Two instruments then carry a</w:t>
      </w:r>
      <w:r>
        <w:t xml:space="preserve"> </w:t>
      </w:r>
      <w:r>
        <w:rPr>
          <w:b/>
          <w:bCs/>
        </w:rPr>
        <w:t xml:space="preserve">December 7, 2026</w:t>
      </w:r>
      <w:r>
        <w:t xml:space="preserve"> </w:t>
      </w:r>
      <w:r>
        <w:t xml:space="preserve">deadline that this program</w:t>
      </w:r>
      <w:r>
        <w:t xml:space="preserve"> </w:t>
      </w:r>
      <w:r>
        <w:t xml:space="preserve">aligns to.</w:t>
      </w:r>
      <w:r>
        <w:t xml:space="preserve"> </w:t>
      </w:r>
      <w:r>
        <w:rPr>
          <w:b/>
          <w:bCs/>
        </w:rPr>
        <w:t xml:space="preserve">CISA BOD 26-04</w:t>
      </w:r>
      <w:r>
        <w:t xml:space="preserve"> </w:t>
      </w:r>
      <w:r>
        <w:t xml:space="preserve">sets risk-tiered</w:t>
      </w:r>
      <w:r>
        <w:t xml:space="preserve"> </w:t>
      </w:r>
      <w:r>
        <w:rPr>
          <w:i/>
          <w:iCs/>
        </w:rPr>
        <w:t xml:space="preserve">remediation</w:t>
      </w:r>
      <w:r>
        <w:t xml:space="preserve"> </w:t>
      </w:r>
      <w:r>
        <w:t xml:space="preserve">timelines — a</w:t>
      </w:r>
      <w:r>
        <w:t xml:space="preserve"> </w:t>
      </w:r>
      <w:r>
        <w:t xml:space="preserve">four-variable KEV/exposure/automatability/impact model with 3/14/60-day bands,</w:t>
      </w:r>
      <w:r>
        <w:t xml:space="preserve"> </w:t>
      </w:r>
      <w:r>
        <w:t xml:space="preserve">the SLAs the pipeline’s blocking gate enforces — and does not mandate the</w:t>
      </w:r>
      <w:r>
        <w:t xml:space="preserve"> </w:t>
      </w:r>
      <w:r>
        <w:t xml:space="preserve">artifacts above.</w:t>
      </w:r>
      <w:r>
        <w:t xml:space="preserve"> </w:t>
      </w:r>
      <w:r>
        <w:rPr>
          <w:b/>
          <w:bCs/>
        </w:rPr>
        <w:t xml:space="preserve">FedRAMP NTC-0014</w:t>
      </w:r>
      <w:r>
        <w:t xml:space="preserve"> </w:t>
      </w:r>
      <w:r>
        <w:t xml:space="preserve">makes the FedRAMP VDR/VER rule sets</w:t>
      </w:r>
      <w:r>
        <w:t xml:space="preserve"> </w:t>
      </w:r>
      <w:r>
        <w:t xml:space="preserve">mandatory for FedRAMP offerings on the same date. The evidence pipeline serves</w:t>
      </w:r>
      <w:r>
        <w:t xml:space="preserve"> </w:t>
      </w:r>
      <w:r>
        <w:t xml:space="preserve">both: it produces the SBOM/VDR/VEX artifacts (EO 14028 §4) and enforces the</w:t>
      </w:r>
      <w:r>
        <w:t xml:space="preserve"> </w:t>
      </w:r>
      <w:r>
        <w:t xml:space="preserve">BOD 26-04 remediation SLAs against what they surface.</w:t>
      </w:r>
    </w:p>
    <w:p>
      <w:pPr>
        <w:pStyle w:val="BodyText"/>
      </w:pPr>
      <w:r>
        <w:t xml:space="preserve">Under FedRAMP 20x Consolidated Rules, the same data serves as the machine-readable</w:t>
      </w:r>
      <w:r>
        <w:t xml:space="preserve"> </w:t>
      </w:r>
      <w:r>
        <w:t xml:space="preserve">evidence package for KSI-SCR (Supply Chain Risk), KSI-CMT-VTD (Validation</w:t>
      </w:r>
      <w:r>
        <w:t xml:space="preserve"> </w:t>
      </w:r>
      <w:r>
        <w:t xml:space="preserve">Throughout Deployment), and the SR control family assessment.</w:t>
      </w:r>
    </w:p>
    <w:p>
      <w:r>
        <w:pict>
          <v:rect style="width:0;height:1.5pt" o:hralign="center" o:hrstd="t" o:hr="t"/>
        </w:pict>
      </w:r>
    </w:p>
    <w:bookmarkEnd w:id="11"/>
    <w:bookmarkStart w:id="16" w:name="architecture-the-sbomvdrvex-pipeline"/>
    <w:p>
      <w:pPr>
        <w:pStyle w:val="Heading1"/>
      </w:pPr>
      <w:r>
        <w:t xml:space="preserve">2. Architecture: The SBOM/VDR/VEX Pipeline</w:t>
      </w:r>
    </w:p>
    <w:bookmarkStart w:id="12" w:name="pipeline-overview"/>
    <w:p>
      <w:pPr>
        <w:pStyle w:val="Heading2"/>
      </w:pPr>
      <w:r>
        <w:t xml:space="preserve">2.1 Pipeline Overview</w:t>
      </w:r>
    </w:p>
    <w:p>
      <w:pPr>
        <w:pStyle w:val="SourceCode"/>
      </w:pPr>
      <w:r>
        <w:rPr>
          <w:rStyle w:val="VerbatimChar"/>
        </w:rPr>
        <w:t xml:space="preserve">┌─────────────────────────────────────────────────────────────────────┐</w:t>
      </w:r>
      <w:r>
        <w:br/>
      </w:r>
      <w:r>
        <w:rPr>
          <w:rStyle w:val="VerbatimChar"/>
        </w:rPr>
        <w:t xml:space="preserve">│  Source Code + Dependencies                                          │</w:t>
      </w:r>
      <w:r>
        <w:br/>
      </w:r>
      <w:r>
        <w:rPr>
          <w:rStyle w:val="VerbatimChar"/>
        </w:rPr>
        <w:t xml:space="preserve">│  (GitHub repos, container images, IaC artifacts)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SBOM Generation (GitHub Actions CI)                                 │</w:t>
      </w:r>
      <w:r>
        <w:br/>
      </w:r>
      <w:r>
        <w:rPr>
          <w:rStyle w:val="VerbatimChar"/>
        </w:rPr>
        <w:t xml:space="preserve">│  Tool: Syft (Anchore) — outputs CycloneDX 1.6 XML                  │</w:t>
      </w:r>
      <w:r>
        <w:br/>
      </w:r>
      <w:r>
        <w:rPr>
          <w:rStyle w:val="VerbatimChar"/>
        </w:rPr>
        <w:t xml:space="preserve">│  Triggered: every push to main, every release tag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Vulnerability Scan (VDR Generation)                                 │</w:t>
      </w:r>
      <w:r>
        <w:br/>
      </w:r>
      <w:r>
        <w:rPr>
          <w:rStyle w:val="VerbatimChar"/>
        </w:rPr>
        <w:t xml:space="preserve">│  Tool: Grype (Anchore) or Trivy — matches SBOM components to NVD   │</w:t>
      </w:r>
      <w:r>
        <w:br/>
      </w:r>
      <w:r>
        <w:rPr>
          <w:rStyle w:val="VerbatimChar"/>
        </w:rPr>
        <w:t xml:space="preserve">│  Input: CycloneDX SBOM  Output: CycloneDX VDR (CVE list + scores)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VEX Authoring (Exploitability Assertion)                            │</w:t>
      </w:r>
      <w:r>
        <w:br/>
      </w:r>
      <w:r>
        <w:rPr>
          <w:rStyle w:val="VerbatimChar"/>
        </w:rPr>
        <w:t xml:space="preserve">│  Tool: OpenVEX CLI or CycloneDX VEX tooling                        │</w:t>
      </w:r>
      <w:r>
        <w:br/>
      </w:r>
      <w:r>
        <w:rPr>
          <w:rStyle w:val="VerbatimChar"/>
        </w:rPr>
        <w:t xml:space="preserve">│  Output: VEX document asserting not_affected / affected / fixed     │</w:t>
      </w:r>
      <w:r>
        <w:br/>
      </w:r>
      <w:r>
        <w:rPr>
          <w:rStyle w:val="VerbatimChar"/>
        </w:rPr>
        <w:t xml:space="preserve">│  per CVE per product component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Artifact Storage (GitHub Releases + Azure Blob immutable tier)     │</w:t>
      </w:r>
      <w:r>
        <w:br/>
      </w:r>
      <w:r>
        <w:rPr>
          <w:rStyle w:val="VerbatimChar"/>
        </w:rPr>
        <w:t xml:space="preserve">│  Retention: 7 years (NARA standard)                                  │</w:t>
      </w:r>
      <w:r>
        <w:br/>
      </w:r>
      <w:r>
        <w:rPr>
          <w:rStyle w:val="VerbatimChar"/>
        </w:rPr>
        <w:t xml:space="preserve">│  Access: Signed URLs for agency evidence repo + downstream sharing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Agency Evidence Repository + Sentinel KSI Dashboard Ingestion      │</w:t>
      </w:r>
      <w:r>
        <w:br/>
      </w:r>
      <w:r>
        <w:rPr>
          <w:rStyle w:val="VerbatimChar"/>
        </w:rPr>
        <w:t xml:space="preserve">│  Feedback loop: new CVEs trigger Defender VM alert (Part 11 chain)   │</w:t>
      </w:r>
      <w:r>
        <w:br/>
      </w:r>
      <w:r>
        <w:rPr>
          <w:rStyle w:val="VerbatimChar"/>
        </w:rPr>
        <w:t xml:space="preserve">└─────────────────────────────────────────────────────────────────────┘</w:t>
      </w:r>
    </w:p>
    <w:bookmarkEnd w:id="12"/>
    <w:bookmarkStart w:id="15" w:name="sbom-generation-with-syft"/>
    <w:p>
      <w:pPr>
        <w:pStyle w:val="Heading2"/>
      </w:pPr>
      <w:r>
        <w:t xml:space="preserve">2.2 SBOM Generation with Syft</w:t>
      </w:r>
    </w:p>
    <w:p>
      <w:pPr>
        <w:pStyle w:val="FirstParagraph"/>
      </w:pPr>
      <w:r>
        <w:t xml:space="preserve">Syft (Anchore) is a widely used SBOM generator for federal systems. It</w:t>
      </w:r>
      <w:r>
        <w:t xml:space="preserve"> </w:t>
      </w:r>
      <w:r>
        <w:t xml:space="preserve">produces CycloneDX 1.6 XML natively, a format consistent with CISA’s VEX</w:t>
      </w:r>
      <w:r>
        <w:t xml:space="preserve"> </w:t>
      </w:r>
      <w:r>
        <w:t xml:space="preserve">minimum requirements and the 2025 CISA SBOM minimum elements.</w:t>
      </w:r>
    </w:p>
    <w:bookmarkStart w:id="13" w:name="github-actions-integration"/>
    <w:p>
      <w:pPr>
        <w:pStyle w:val="Heading3"/>
      </w:pPr>
      <w:r>
        <w:t xml:space="preserve">2.2.1 GitHub Actions Integration</w:t>
      </w:r>
    </w:p>
    <w:p>
      <w:pPr>
        <w:pStyle w:val="SourceCode"/>
      </w:pPr>
      <w:r>
        <w:rPr>
          <w:rStyle w:val="CommentTok"/>
        </w:rPr>
        <w:t xml:space="preserve"># .github/workflows/sbom.yml</w:t>
      </w:r>
      <w:r>
        <w:br/>
      </w:r>
      <w:r>
        <w:rPr>
          <w:rStyle w:val="FunctionTok"/>
        </w:rPr>
        <w:t xml:space="preserve">name</w:t>
      </w:r>
      <w:r>
        <w:rPr>
          <w:rStyle w:val="KeywordTok"/>
        </w:rPr>
        <w:t xml:space="preserve">:</w:t>
      </w:r>
      <w:r>
        <w:rPr>
          <w:rStyle w:val="AttributeTok"/>
        </w:rPr>
        <w:t xml:space="preserve"> SBOM + VDR Generation</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push</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br/>
      </w:r>
      <w:r>
        <w:rPr>
          <w:rStyle w:val="AttributeTok"/>
        </w:rPr>
        <w:t xml:space="preserve">  </w:t>
      </w:r>
      <w:r>
        <w:rPr>
          <w:rStyle w:val="FunctionTok"/>
        </w:rPr>
        <w:t xml:space="preserve">release</w:t>
      </w:r>
      <w:r>
        <w:rPr>
          <w:rStyle w:val="KeywordTok"/>
        </w:rPr>
        <w:t xml:space="preserve">:</w:t>
      </w:r>
      <w:r>
        <w:br/>
      </w:r>
      <w:r>
        <w:rPr>
          <w:rStyle w:val="AttributeTok"/>
        </w:rPr>
        <w:t xml:space="preserve">    </w:t>
      </w:r>
      <w:r>
        <w:rPr>
          <w:rStyle w:val="FunctionTok"/>
        </w:rPr>
        <w:t xml:space="preserve">types</w:t>
      </w:r>
      <w:r>
        <w:rPr>
          <w:rStyle w:val="KeywordTok"/>
        </w:rPr>
        <w:t xml:space="preserve">:</w:t>
      </w:r>
      <w:r>
        <w:rPr>
          <w:rStyle w:val="AttributeTok"/>
        </w:rPr>
        <w:t xml:space="preserve"> </w:t>
      </w:r>
      <w:r>
        <w:rPr>
          <w:rStyle w:val="KeywordTok"/>
        </w:rPr>
        <w:t xml:space="preserve">[</w:t>
      </w:r>
      <w:r>
        <w:rPr>
          <w:rStyle w:val="AttributeTok"/>
        </w:rPr>
        <w:t xml:space="preserve">published</w:t>
      </w:r>
      <w:r>
        <w:rPr>
          <w:rStyle w:val="KeywordTok"/>
        </w:rPr>
        <w:t xml:space="preserve">]</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sbom</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rPr>
          <w:rStyle w:val="FunctionTok"/>
        </w:rPr>
        <w:t xml:space="preserve">permissions</w:t>
      </w:r>
      <w:r>
        <w:rPr>
          <w:rStyle w:val="KeywordTok"/>
        </w:rPr>
        <w:t xml:space="preserve">:</w:t>
      </w:r>
      <w:r>
        <w:br/>
      </w:r>
      <w:r>
        <w:rPr>
          <w:rStyle w:val="AttributeTok"/>
        </w:rPr>
        <w:t xml:space="preserve">      </w:t>
      </w:r>
      <w:r>
        <w:rPr>
          <w:rStyle w:val="FunctionTok"/>
        </w:rPr>
        <w:t xml:space="preserve">contents</w:t>
      </w:r>
      <w:r>
        <w:rPr>
          <w:rStyle w:val="KeywordTok"/>
        </w:rPr>
        <w:t xml:space="preserve">:</w:t>
      </w:r>
      <w:r>
        <w:rPr>
          <w:rStyle w:val="AttributeTok"/>
        </w:rPr>
        <w:t xml:space="preserve"> write</w:t>
      </w:r>
      <w:r>
        <w:br/>
      </w:r>
      <w:r>
        <w:rPr>
          <w:rStyle w:val="AttributeTok"/>
        </w:rPr>
        <w:t xml:space="preserve">      </w:t>
      </w:r>
      <w:r>
        <w:rPr>
          <w:rStyle w:val="FunctionTok"/>
        </w:rPr>
        <w:t xml:space="preserve">security-events</w:t>
      </w:r>
      <w:r>
        <w:rPr>
          <w:rStyle w:val="KeywordTok"/>
        </w:rPr>
        <w:t xml:space="preserve">:</w:t>
      </w:r>
      <w:r>
        <w:rPr>
          <w:rStyle w:val="AttributeTok"/>
        </w:rPr>
        <w:t xml:space="preserve"> write</w:t>
      </w:r>
      <w:r>
        <w:br/>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Generate SBOM (CycloneDX 1.6)</w:t>
      </w:r>
      <w:r>
        <w:br/>
      </w:r>
      <w:r>
        <w:rPr>
          <w:rStyle w:val="AttributeTok"/>
        </w:rPr>
        <w:t xml:space="preserve">        </w:t>
      </w:r>
      <w:r>
        <w:rPr>
          <w:rStyle w:val="FunctionTok"/>
        </w:rPr>
        <w:t xml:space="preserve">uses</w:t>
      </w:r>
      <w:r>
        <w:rPr>
          <w:rStyle w:val="KeywordTok"/>
        </w:rPr>
        <w:t xml:space="preserve">:</w:t>
      </w:r>
      <w:r>
        <w:rPr>
          <w:rStyle w:val="AttributeTok"/>
        </w:rPr>
        <w:t xml:space="preserve"> anchore/sbom-action@v0</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format</w:t>
      </w:r>
      <w:r>
        <w:rPr>
          <w:rStyle w:val="KeywordTok"/>
        </w:rPr>
        <w:t xml:space="preserve">:</w:t>
      </w:r>
      <w:r>
        <w:rPr>
          <w:rStyle w:val="AttributeTok"/>
        </w:rPr>
        <w:t xml:space="preserve"> cyclonedx-xml</w:t>
      </w:r>
      <w:r>
        <w:br/>
      </w:r>
      <w:r>
        <w:rPr>
          <w:rStyle w:val="AttributeTok"/>
        </w:rPr>
        <w:t xml:space="preserve">          </w:t>
      </w:r>
      <w:r>
        <w:rPr>
          <w:rStyle w:val="FunctionTok"/>
        </w:rPr>
        <w:t xml:space="preserve">output-file</w:t>
      </w:r>
      <w:r>
        <w:rPr>
          <w:rStyle w:val="KeywordTok"/>
        </w:rPr>
        <w:t xml:space="preserve">:</w:t>
      </w:r>
      <w:r>
        <w:rPr>
          <w:rStyle w:val="AttributeTok"/>
        </w:rPr>
        <w:t xml:space="preserve"> sbom-${{ github.sha }}.xml</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Scan SBOM for Vulnerabilities (VDR)</w:t>
      </w:r>
      <w:r>
        <w:br/>
      </w:r>
      <w:r>
        <w:rPr>
          <w:rStyle w:val="AttributeTok"/>
        </w:rPr>
        <w:t xml:space="preserve">        </w:t>
      </w:r>
      <w:r>
        <w:rPr>
          <w:rStyle w:val="FunctionTok"/>
        </w:rPr>
        <w:t xml:space="preserve">uses</w:t>
      </w:r>
      <w:r>
        <w:rPr>
          <w:rStyle w:val="KeywordTok"/>
        </w:rPr>
        <w:t xml:space="preserve">:</w:t>
      </w:r>
      <w:r>
        <w:rPr>
          <w:rStyle w:val="AttributeTok"/>
        </w:rPr>
        <w:t xml:space="preserve"> anchore/scan-action@v3</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sbom</w:t>
      </w:r>
      <w:r>
        <w:rPr>
          <w:rStyle w:val="KeywordTok"/>
        </w:rPr>
        <w:t xml:space="preserve">:</w:t>
      </w:r>
      <w:r>
        <w:rPr>
          <w:rStyle w:val="AttributeTok"/>
        </w:rPr>
        <w:t xml:space="preserve"> sbom-${{ github.sha }}.xml</w:t>
      </w:r>
      <w:r>
        <w:br/>
      </w:r>
      <w:r>
        <w:rPr>
          <w:rStyle w:val="AttributeTok"/>
        </w:rPr>
        <w:t xml:space="preserve">          </w:t>
      </w:r>
      <w:r>
        <w:rPr>
          <w:rStyle w:val="FunctionTok"/>
        </w:rPr>
        <w:t xml:space="preserve">output-format</w:t>
      </w:r>
      <w:r>
        <w:rPr>
          <w:rStyle w:val="KeywordTok"/>
        </w:rPr>
        <w:t xml:space="preserve">:</w:t>
      </w:r>
      <w:r>
        <w:rPr>
          <w:rStyle w:val="AttributeTok"/>
        </w:rPr>
        <w:t xml:space="preserve"> cyclonedx-xml</w:t>
      </w:r>
      <w:r>
        <w:br/>
      </w:r>
      <w:r>
        <w:rPr>
          <w:rStyle w:val="AttributeTok"/>
        </w:rPr>
        <w:t xml:space="preserve">          </w:t>
      </w:r>
      <w:r>
        <w:rPr>
          <w:rStyle w:val="FunctionTok"/>
        </w:rPr>
        <w:t xml:space="preserve">output-file</w:t>
      </w:r>
      <w:r>
        <w:rPr>
          <w:rStyle w:val="KeywordTok"/>
        </w:rPr>
        <w:t xml:space="preserve">:</w:t>
      </w:r>
      <w:r>
        <w:rPr>
          <w:rStyle w:val="AttributeTok"/>
        </w:rPr>
        <w:t xml:space="preserve"> vdr-${{ github.sha }}.xml</w:t>
      </w:r>
      <w:r>
        <w:br/>
      </w:r>
      <w:r>
        <w:rPr>
          <w:rStyle w:val="AttributeTok"/>
        </w:rPr>
        <w:t xml:space="preserve">          </w:t>
      </w:r>
      <w:r>
        <w:rPr>
          <w:rStyle w:val="FunctionTok"/>
        </w:rPr>
        <w:t xml:space="preserve">fail-build</w:t>
      </w:r>
      <w:r>
        <w:rPr>
          <w:rStyle w:val="KeywordTok"/>
        </w:rPr>
        <w:t xml:space="preserve">:</w:t>
      </w:r>
      <w:r>
        <w:rPr>
          <w:rStyle w:val="AttributeTok"/>
        </w:rPr>
        <w:t xml:space="preserve"> </w:t>
      </w:r>
      <w:r>
        <w:rPr>
          <w:rStyle w:val="CharTok"/>
        </w:rPr>
        <w:t xml:space="preserve">false</w:t>
      </w:r>
      <w:r>
        <w:br/>
      </w:r>
      <w:r>
        <w:rPr>
          <w:rStyle w:val="AttributeTok"/>
        </w:rPr>
        <w:t xml:space="preserve">        </w:t>
      </w:r>
      <w:r>
        <w:rPr>
          <w:rStyle w:val="FunctionTok"/>
        </w:rPr>
        <w:t xml:space="preserve">id</w:t>
      </w:r>
      <w:r>
        <w:rPr>
          <w:rStyle w:val="KeywordTok"/>
        </w:rPr>
        <w:t xml:space="preserve">:</w:t>
      </w:r>
      <w:r>
        <w:rPr>
          <w:rStyle w:val="AttributeTok"/>
        </w:rPr>
        <w:t xml:space="preserve"> scan</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Upload SBOM + VDR as release assets</w:t>
      </w:r>
      <w:r>
        <w:br/>
      </w:r>
      <w:r>
        <w:rPr>
          <w:rStyle w:val="AttributeTok"/>
        </w:rPr>
        <w:t xml:space="preserve">        </w:t>
      </w:r>
      <w:r>
        <w:rPr>
          <w:rStyle w:val="FunctionTok"/>
        </w:rPr>
        <w:t xml:space="preserve">if</w:t>
      </w:r>
      <w:r>
        <w:rPr>
          <w:rStyle w:val="KeywordTok"/>
        </w:rPr>
        <w:t xml:space="preserve">:</w:t>
      </w:r>
      <w:r>
        <w:rPr>
          <w:rStyle w:val="AttributeTok"/>
        </w:rPr>
        <w:t xml:space="preserve"> github.event_name == 'release'</w:t>
      </w:r>
      <w:r>
        <w:br/>
      </w:r>
      <w:r>
        <w:rPr>
          <w:rStyle w:val="AttributeTok"/>
        </w:rPr>
        <w:t xml:space="preserve">        </w:t>
      </w:r>
      <w:r>
        <w:rPr>
          <w:rStyle w:val="FunctionTok"/>
        </w:rPr>
        <w:t xml:space="preserve">uses</w:t>
      </w:r>
      <w:r>
        <w:rPr>
          <w:rStyle w:val="KeywordTok"/>
        </w:rPr>
        <w:t xml:space="preserve">:</w:t>
      </w:r>
      <w:r>
        <w:rPr>
          <w:rStyle w:val="AttributeTok"/>
        </w:rPr>
        <w:t xml:space="preserve"> softprops/action-gh-release@v2</w:t>
      </w:r>
      <w:r>
        <w:br/>
      </w:r>
      <w:r>
        <w:rPr>
          <w:rStyle w:val="AttributeTok"/>
        </w:rPr>
        <w:t xml:space="preserve">        </w:t>
      </w:r>
      <w:r>
        <w:rPr>
          <w:rStyle w:val="FunctionTok"/>
        </w:rPr>
        <w:t xml:space="preserve">with</w:t>
      </w:r>
      <w:r>
        <w:rPr>
          <w:rStyle w:val="KeywordTok"/>
        </w:rPr>
        <w:t xml:space="preserve">:</w:t>
      </w:r>
      <w:r>
        <w:br/>
      </w:r>
      <w:r>
        <w:rPr>
          <w:rStyle w:val="FunctionTok"/>
        </w:rPr>
        <w:t xml:space="preserve">          files</w:t>
      </w:r>
      <w:r>
        <w:rPr>
          <w:rStyle w:val="KeywordTok"/>
        </w:rPr>
        <w:t xml:space="preserve">: </w:t>
      </w:r>
      <w:r>
        <w:rPr>
          <w:rStyle w:val="CharTok"/>
        </w:rPr>
        <w:t xml:space="preserve">|</w:t>
      </w:r>
      <w:r>
        <w:br/>
      </w:r>
      <w:r>
        <w:rPr>
          <w:rStyle w:val="NormalTok"/>
        </w:rPr>
        <w:t xml:space="preserve">            sbom-${{ github.sha }}.xml</w:t>
      </w:r>
      <w:r>
        <w:br/>
      </w:r>
      <w:r>
        <w:rPr>
          <w:rStyle w:val="NormalTok"/>
        </w:rPr>
        <w:t xml:space="preserve">            vdr-${{ github.sha }}.xml</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Store to Azure Blob immutable tier</w:t>
      </w:r>
      <w:r>
        <w:br/>
      </w:r>
      <w:r>
        <w:rPr>
          <w:rStyle w:val="AttributeTok"/>
        </w:rPr>
        <w:t xml:space="preserve">        </w:t>
      </w:r>
      <w:r>
        <w:rPr>
          <w:rStyle w:val="FunctionTok"/>
        </w:rPr>
        <w:t xml:space="preserve">env</w:t>
      </w:r>
      <w:r>
        <w:rPr>
          <w:rStyle w:val="KeywordTok"/>
        </w:rPr>
        <w:t xml:space="preserve">:</w:t>
      </w:r>
      <w:r>
        <w:br/>
      </w:r>
      <w:r>
        <w:rPr>
          <w:rStyle w:val="AttributeTok"/>
        </w:rPr>
        <w:t xml:space="preserve">          </w:t>
      </w:r>
      <w:r>
        <w:rPr>
          <w:rStyle w:val="FunctionTok"/>
        </w:rPr>
        <w:t xml:space="preserve">AZURE_STORAGE_ACCOUNT</w:t>
      </w:r>
      <w:r>
        <w:rPr>
          <w:rStyle w:val="KeywordTok"/>
        </w:rPr>
        <w:t xml:space="preserve">:</w:t>
      </w:r>
      <w:r>
        <w:rPr>
          <w:rStyle w:val="AttributeTok"/>
        </w:rPr>
        <w:t xml:space="preserve"> ${{ secrets.SBOM_STORAGE_ACCOUNT }}</w:t>
      </w:r>
      <w:r>
        <w:br/>
      </w:r>
      <w:r>
        <w:rPr>
          <w:rStyle w:val="AttributeTok"/>
        </w:rPr>
        <w:t xml:space="preserve">          </w:t>
      </w:r>
      <w:r>
        <w:rPr>
          <w:rStyle w:val="FunctionTok"/>
        </w:rPr>
        <w:t xml:space="preserve">AZURE_STORAGE_SAS</w:t>
      </w:r>
      <w:r>
        <w:rPr>
          <w:rStyle w:val="KeywordTok"/>
        </w:rPr>
        <w:t xml:space="preserve">:</w:t>
      </w:r>
      <w:r>
        <w:rPr>
          <w:rStyle w:val="AttributeTok"/>
        </w:rPr>
        <w:t xml:space="preserve"> ${{ secrets.SBOM_STORAGE_SAS }}</w:t>
      </w:r>
      <w:r>
        <w:br/>
      </w:r>
      <w:r>
        <w:rPr>
          <w:rStyle w:val="FunctionTok"/>
        </w:rPr>
        <w:t xml:space="preserve">        run</w:t>
      </w:r>
      <w:r>
        <w:rPr>
          <w:rStyle w:val="KeywordTok"/>
        </w:rPr>
        <w:t xml:space="preserve">: </w:t>
      </w:r>
      <w:r>
        <w:rPr>
          <w:rStyle w:val="CharTok"/>
        </w:rPr>
        <w:t xml:space="preserve">|</w:t>
      </w:r>
      <w:r>
        <w:br/>
      </w:r>
      <w:r>
        <w:rPr>
          <w:rStyle w:val="NormalTok"/>
        </w:rPr>
        <w:t xml:space="preserve">          az storage blob upload \</w:t>
      </w:r>
      <w:r>
        <w:br/>
      </w:r>
      <w:r>
        <w:rPr>
          <w:rStyle w:val="NormalTok"/>
        </w:rPr>
        <w:t xml:space="preserve">            --account-name "$AZURE_STORAGE_ACCOUNT" \</w:t>
      </w:r>
      <w:r>
        <w:br/>
      </w:r>
      <w:r>
        <w:rPr>
          <w:rStyle w:val="NormalTok"/>
        </w:rPr>
        <w:t xml:space="preserve">            --sas-token "$AZURE_STORAGE_SAS" \</w:t>
      </w:r>
      <w:r>
        <w:br/>
      </w:r>
      <w:r>
        <w:rPr>
          <w:rStyle w:val="NormalTok"/>
        </w:rPr>
        <w:t xml:space="preserve">            --container-name sbom-archive \</w:t>
      </w:r>
      <w:r>
        <w:br/>
      </w:r>
      <w:r>
        <w:rPr>
          <w:rStyle w:val="NormalTok"/>
        </w:rPr>
        <w:t xml:space="preserve">            --name "$(date +%Y/%m/%d)/sbom-${{ github.sha }}.xml" \</w:t>
      </w:r>
      <w:r>
        <w:br/>
      </w:r>
      <w:r>
        <w:rPr>
          <w:rStyle w:val="NormalTok"/>
        </w:rPr>
        <w:t xml:space="preserve">            --file sbom-${{ github.sha }}.xml \</w:t>
      </w:r>
      <w:r>
        <w:br/>
      </w:r>
      <w:r>
        <w:rPr>
          <w:rStyle w:val="NormalTok"/>
        </w:rPr>
        <w:t xml:space="preserve">            --tier Archive</w:t>
      </w:r>
    </w:p>
    <w:bookmarkEnd w:id="13"/>
    <w:bookmarkStart w:id="14" w:name="X820fbecca140609b3209e51d8cedf105f62dca9"/>
    <w:p>
      <w:pPr>
        <w:pStyle w:val="Heading3"/>
      </w:pPr>
      <w:r>
        <w:t xml:space="preserve">2.2.2 SBOM Content Requirements (NTIA Minimum Elements)</w:t>
      </w:r>
    </w:p>
    <w:p>
      <w:pPr>
        <w:pStyle w:val="FirstParagraph"/>
      </w:pPr>
      <w:r>
        <w:t xml:space="preserve">The National Telecommunications and Information Administration (NTIA) defines</w:t>
      </w:r>
      <w:r>
        <w:t xml:space="preserve"> </w:t>
      </w:r>
      <w:r>
        <w:t xml:space="preserve">minimum SBOM elements. Syft satisfies all of them automatically:</w:t>
      </w:r>
    </w:p>
    <w:p>
      <w:pPr>
        <w:pStyle w:val="TableCaption"/>
      </w:pPr>
      <w:r>
        <w:t xml:space="preserve">NTIA Minimum SBOM Elements — Syft CycloneDX Coverage</w:t>
      </w:r>
    </w:p>
    <w:tbl>
      <w:tblPr>
        <w:tblStyle w:val="Table"/>
        <w:tblW w:type="pct" w:w="5000"/>
        <w:tblLayout w:type="fixed"/>
        <w:tblLook w:firstRow="1" w:lastRow="0" w:firstColumn="0" w:lastColumn="0" w:noHBand="0" w:noVBand="0" w:val="0020"/>
        <w:tblCaption w:val="NTIA Minimum SBOM Elements — Syft CycloneDX Coverage"/>
      </w:tblPr>
      <w:tblGrid>
        <w:gridCol w:w="2640"/>
        <w:gridCol w:w="2640"/>
        <w:gridCol w:w="2640"/>
      </w:tblGrid>
      <w:tr>
        <w:trPr>
          <w:tblHeader w:val="on"/>
        </w:trPr>
        <w:tc>
          <w:tcPr/>
          <w:p>
            <w:pPr>
              <w:pStyle w:val="Compact"/>
            </w:pPr>
            <w:r>
              <w:t xml:space="preserve">NTIA Element</w:t>
            </w:r>
          </w:p>
        </w:tc>
        <w:tc>
          <w:tcPr/>
          <w:p>
            <w:pPr>
              <w:pStyle w:val="Compact"/>
            </w:pPr>
            <w:r>
              <w:t xml:space="preserve">CycloneDX Field</w:t>
            </w:r>
          </w:p>
        </w:tc>
        <w:tc>
          <w:tcPr/>
          <w:p>
            <w:pPr>
              <w:pStyle w:val="Compact"/>
            </w:pPr>
            <w:r>
              <w:t xml:space="preserve">Syft Output</w:t>
            </w:r>
          </w:p>
        </w:tc>
      </w:tr>
      <w:tr>
        <w:tc>
          <w:tcPr/>
          <w:p>
            <w:pPr>
              <w:pStyle w:val="Compact"/>
            </w:pPr>
            <w:r>
              <w:t xml:space="preserve">Supplier name</w:t>
            </w:r>
          </w:p>
        </w:tc>
        <w:tc>
          <w:tcPr/>
          <w:p>
            <w:pPr>
              <w:pStyle w:val="Compact"/>
            </w:pPr>
            <w:r>
              <w:rPr>
                <w:rStyle w:val="VerbatimChar"/>
              </w:rPr>
              <w:t xml:space="preserve">supplier.name</w:t>
            </w:r>
          </w:p>
        </w:tc>
        <w:tc>
          <w:tcPr/>
          <w:p>
            <w:pPr>
              <w:pStyle w:val="Compact"/>
            </w:pPr>
            <w:r>
              <w:t xml:space="preserve">Extracted from package metadata</w:t>
            </w:r>
          </w:p>
        </w:tc>
      </w:tr>
      <w:tr>
        <w:tc>
          <w:tcPr/>
          <w:p>
            <w:pPr>
              <w:pStyle w:val="Compact"/>
            </w:pPr>
            <w:r>
              <w:t xml:space="preserve">Component name</w:t>
            </w:r>
          </w:p>
        </w:tc>
        <w:tc>
          <w:tcPr/>
          <w:p>
            <w:pPr>
              <w:pStyle w:val="Compact"/>
            </w:pPr>
            <w:r>
              <w:rPr>
                <w:rStyle w:val="VerbatimChar"/>
              </w:rPr>
              <w:t xml:space="preserve">component.name</w:t>
            </w:r>
          </w:p>
        </w:tc>
        <w:tc>
          <w:tcPr/>
          <w:p>
            <w:pPr>
              <w:pStyle w:val="Compact"/>
            </w:pPr>
            <w:r>
              <w:t xml:space="preserve">Package name</w:t>
            </w:r>
          </w:p>
        </w:tc>
      </w:tr>
      <w:tr>
        <w:tc>
          <w:tcPr/>
          <w:p>
            <w:pPr>
              <w:pStyle w:val="Compact"/>
            </w:pPr>
            <w:r>
              <w:t xml:space="preserve">Version</w:t>
            </w:r>
          </w:p>
        </w:tc>
        <w:tc>
          <w:tcPr/>
          <w:p>
            <w:pPr>
              <w:pStyle w:val="Compact"/>
            </w:pPr>
            <w:r>
              <w:rPr>
                <w:rStyle w:val="VerbatimChar"/>
              </w:rPr>
              <w:t xml:space="preserve">component.version</w:t>
            </w:r>
          </w:p>
        </w:tc>
        <w:tc>
          <w:tcPr/>
          <w:p>
            <w:pPr>
              <w:pStyle w:val="Compact"/>
            </w:pPr>
            <w:r>
              <w:t xml:space="preserve">Exact version string</w:t>
            </w:r>
          </w:p>
        </w:tc>
      </w:tr>
      <w:tr>
        <w:tc>
          <w:tcPr/>
          <w:p>
            <w:pPr>
              <w:pStyle w:val="Compact"/>
            </w:pPr>
            <w:r>
              <w:t xml:space="preserve">Other unique identifiers</w:t>
            </w:r>
          </w:p>
        </w:tc>
        <w:tc>
          <w:tcPr/>
          <w:p>
            <w:pPr>
              <w:pStyle w:val="Compact"/>
            </w:pPr>
            <w:r>
              <w:rPr>
                <w:rStyle w:val="VerbatimChar"/>
              </w:rPr>
              <w:t xml:space="preserve">component.purl</w:t>
            </w:r>
          </w:p>
        </w:tc>
        <w:tc>
          <w:tcPr/>
          <w:p>
            <w:pPr>
              <w:pStyle w:val="Compact"/>
            </w:pPr>
            <w:r>
              <w:t xml:space="preserve">Package URL (PURL) — unique per version</w:t>
            </w:r>
          </w:p>
        </w:tc>
      </w:tr>
      <w:tr>
        <w:tc>
          <w:tcPr/>
          <w:p>
            <w:pPr>
              <w:pStyle w:val="Compact"/>
            </w:pPr>
            <w:r>
              <w:t xml:space="preserve">Dependency relationships</w:t>
            </w:r>
          </w:p>
        </w:tc>
        <w:tc>
          <w:tcPr/>
          <w:p>
            <w:pPr>
              <w:pStyle w:val="Compact"/>
            </w:pPr>
            <w:r>
              <w:rPr>
                <w:rStyle w:val="VerbatimChar"/>
              </w:rPr>
              <w:t xml:space="preserve">dependencies</w:t>
            </w:r>
          </w:p>
        </w:tc>
        <w:tc>
          <w:tcPr/>
          <w:p>
            <w:pPr>
              <w:pStyle w:val="Compact"/>
            </w:pPr>
            <w:r>
              <w:t xml:space="preserve">Full dependency graph</w:t>
            </w:r>
          </w:p>
        </w:tc>
      </w:tr>
      <w:tr>
        <w:tc>
          <w:tcPr/>
          <w:p>
            <w:pPr>
              <w:pStyle w:val="Compact"/>
            </w:pPr>
            <w:r>
              <w:t xml:space="preserve">SBOM author</w:t>
            </w:r>
          </w:p>
        </w:tc>
        <w:tc>
          <w:tcPr/>
          <w:p>
            <w:pPr>
              <w:pStyle w:val="Compact"/>
            </w:pPr>
            <w:r>
              <w:rPr>
                <w:rStyle w:val="VerbatimChar"/>
              </w:rPr>
              <w:t xml:space="preserve">metadata.author</w:t>
            </w:r>
          </w:p>
        </w:tc>
        <w:tc>
          <w:tcPr/>
          <w:p>
            <w:pPr>
              <w:pStyle w:val="Compact"/>
            </w:pPr>
            <w:r>
              <w:t xml:space="preserve">Set from CI environment</w:t>
            </w:r>
          </w:p>
        </w:tc>
      </w:tr>
      <w:tr>
        <w:tc>
          <w:tcPr/>
          <w:p>
            <w:pPr>
              <w:pStyle w:val="Compact"/>
            </w:pPr>
            <w:r>
              <w:t xml:space="preserve">Timestamp</w:t>
            </w:r>
          </w:p>
        </w:tc>
        <w:tc>
          <w:tcPr/>
          <w:p>
            <w:pPr>
              <w:pStyle w:val="Compact"/>
            </w:pPr>
            <w:r>
              <w:rPr>
                <w:rStyle w:val="VerbatimChar"/>
              </w:rPr>
              <w:t xml:space="preserve">metadata.timestamp</w:t>
            </w:r>
          </w:p>
        </w:tc>
        <w:tc>
          <w:tcPr/>
          <w:p>
            <w:pPr>
              <w:pStyle w:val="Compact"/>
            </w:pPr>
            <w:r>
              <w:t xml:space="preserve">UTC build timestamp</w:t>
            </w:r>
          </w:p>
        </w:tc>
      </w:tr>
    </w:tbl>
    <w:p>
      <w:r>
        <w:pict>
          <v:rect style="width:0;height:1.5pt" o:hralign="center" o:hrstd="t" o:hr="t"/>
        </w:pict>
      </w:r>
    </w:p>
    <w:bookmarkEnd w:id="14"/>
    <w:bookmarkEnd w:id="15"/>
    <w:bookmarkEnd w:id="16"/>
    <w:bookmarkStart w:id="19" w:name="vulnerability-disclosure-report-vdr"/>
    <w:p>
      <w:pPr>
        <w:pStyle w:val="Heading1"/>
      </w:pPr>
      <w:r>
        <w:t xml:space="preserve">3. Vulnerability Disclosure Report (VDR)</w:t>
      </w:r>
    </w:p>
    <w:p>
      <w:pPr>
        <w:pStyle w:val="FirstParagraph"/>
      </w:pPr>
      <w:r>
        <w:t xml:space="preserve">The VDR is a machine-readable enumeration of all CVEs affecting components in</w:t>
      </w:r>
      <w:r>
        <w:t xml:space="preserve"> </w:t>
      </w:r>
      <w:r>
        <w:t xml:space="preserve">the SBOM. Grype (Anchore) takes the CycloneDX SBOM as input and produces a</w:t>
      </w:r>
      <w:r>
        <w:t xml:space="preserve"> </w:t>
      </w:r>
      <w:r>
        <w:t xml:space="preserve">CycloneDX VDR with NVD-sourced CVE data.</w:t>
      </w:r>
    </w:p>
    <w:bookmarkStart w:id="17" w:name="vdr-fields"/>
    <w:p>
      <w:pPr>
        <w:pStyle w:val="Heading2"/>
      </w:pPr>
      <w:r>
        <w:t xml:space="preserve">3.1 VDR Fields</w:t>
      </w:r>
    </w:p>
    <w:p>
      <w:pPr>
        <w:pStyle w:val="SourceCode"/>
      </w:pPr>
      <w:r>
        <w:rPr>
          <w:rStyle w:val="CommentTok"/>
        </w:rPr>
        <w:t xml:space="preserve">&lt;!-- Example CycloneDX 1.6 VDR entry --&gt;</w:t>
      </w:r>
      <w:r>
        <w:br/>
      </w:r>
      <w:r>
        <w:rPr>
          <w:rStyle w:val="NormalTok"/>
        </w:rPr>
        <w:t xml:space="preserve">&lt;</w:t>
      </w:r>
      <w:r>
        <w:rPr>
          <w:rStyle w:val="KeywordTok"/>
        </w:rPr>
        <w:t xml:space="preserve">vulnerability</w:t>
      </w:r>
      <w:r>
        <w:rPr>
          <w:rStyle w:val="NormalTok"/>
        </w:rPr>
        <w:t xml:space="preserve">&gt;</w:t>
      </w:r>
      <w:r>
        <w:br/>
      </w:r>
      <w:r>
        <w:rPr>
          <w:rStyle w:val="NormalTok"/>
        </w:rPr>
        <w:t xml:space="preserve">  &lt;</w:t>
      </w:r>
      <w:r>
        <w:rPr>
          <w:rStyle w:val="KeywordTok"/>
        </w:rPr>
        <w:t xml:space="preserve">id</w:t>
      </w:r>
      <w:r>
        <w:rPr>
          <w:rStyle w:val="NormalTok"/>
        </w:rPr>
        <w:t xml:space="preserve">&gt;CVE-2024-12345&lt;/</w:t>
      </w:r>
      <w:r>
        <w:rPr>
          <w:rStyle w:val="KeywordTok"/>
        </w:rPr>
        <w:t xml:space="preserve">id</w:t>
      </w:r>
      <w:r>
        <w:rPr>
          <w:rStyle w:val="NormalTok"/>
        </w:rPr>
        <w:t xml:space="preserve">&gt;</w:t>
      </w:r>
      <w:r>
        <w:br/>
      </w:r>
      <w:r>
        <w:rPr>
          <w:rStyle w:val="NormalTok"/>
        </w:rPr>
        <w:t xml:space="preserve">  &lt;</w:t>
      </w:r>
      <w:r>
        <w:rPr>
          <w:rStyle w:val="KeywordTok"/>
        </w:rPr>
        <w:t xml:space="preserve">source</w:t>
      </w:r>
      <w:r>
        <w:rPr>
          <w:rStyle w:val="NormalTok"/>
        </w:rPr>
        <w:t xml:space="preserve">&gt;</w:t>
      </w:r>
      <w:r>
        <w:br/>
      </w:r>
      <w:r>
        <w:rPr>
          <w:rStyle w:val="NormalTok"/>
        </w:rPr>
        <w:t xml:space="preserve">    &lt;</w:t>
      </w:r>
      <w:r>
        <w:rPr>
          <w:rStyle w:val="KeywordTok"/>
        </w:rPr>
        <w:t xml:space="preserve">name</w:t>
      </w:r>
      <w:r>
        <w:rPr>
          <w:rStyle w:val="NormalTok"/>
        </w:rPr>
        <w:t xml:space="preserve">&gt;NVD&lt;/</w:t>
      </w:r>
      <w:r>
        <w:rPr>
          <w:rStyle w:val="KeywordTok"/>
        </w:rPr>
        <w:t xml:space="preserve">name</w:t>
      </w:r>
      <w:r>
        <w:rPr>
          <w:rStyle w:val="NormalTok"/>
        </w:rPr>
        <w:t xml:space="preserve">&gt;</w:t>
      </w:r>
      <w:r>
        <w:br/>
      </w:r>
      <w:r>
        <w:rPr>
          <w:rStyle w:val="NormalTok"/>
        </w:rPr>
        <w:t xml:space="preserve">    &lt;</w:t>
      </w:r>
      <w:r>
        <w:rPr>
          <w:rStyle w:val="KeywordTok"/>
        </w:rPr>
        <w:t xml:space="preserve">url</w:t>
      </w:r>
      <w:r>
        <w:rPr>
          <w:rStyle w:val="NormalTok"/>
        </w:rPr>
        <w:t xml:space="preserve">&gt;https://nvd.nist.gov/vuln/detail/CVE-2024-12345&lt;/</w:t>
      </w:r>
      <w:r>
        <w:rPr>
          <w:rStyle w:val="KeywordTok"/>
        </w:rPr>
        <w:t xml:space="preserve">url</w:t>
      </w:r>
      <w:r>
        <w:rPr>
          <w:rStyle w:val="NormalTok"/>
        </w:rPr>
        <w:t xml:space="preserve">&gt;</w:t>
      </w:r>
      <w:r>
        <w:br/>
      </w:r>
      <w:r>
        <w:rPr>
          <w:rStyle w:val="NormalTok"/>
        </w:rPr>
        <w:t xml:space="preserve">  &lt;/</w:t>
      </w:r>
      <w:r>
        <w:rPr>
          <w:rStyle w:val="KeywordTok"/>
        </w:rPr>
        <w:t xml:space="preserve">source</w:t>
      </w:r>
      <w:r>
        <w:rPr>
          <w:rStyle w:val="NormalTok"/>
        </w:rPr>
        <w:t xml:space="preserve">&gt;</w:t>
      </w:r>
      <w:r>
        <w:br/>
      </w:r>
      <w:r>
        <w:rPr>
          <w:rStyle w:val="NormalTok"/>
        </w:rPr>
        <w:t xml:space="preserve">  &lt;</w:t>
      </w:r>
      <w:r>
        <w:rPr>
          <w:rStyle w:val="KeywordTok"/>
        </w:rPr>
        <w:t xml:space="preserve">ratings</w:t>
      </w:r>
      <w:r>
        <w:rPr>
          <w:rStyle w:val="NormalTok"/>
        </w:rPr>
        <w:t xml:space="preserve">&gt;</w:t>
      </w:r>
      <w:r>
        <w:br/>
      </w:r>
      <w:r>
        <w:rPr>
          <w:rStyle w:val="NormalTok"/>
        </w:rPr>
        <w:t xml:space="preserve">    &lt;</w:t>
      </w:r>
      <w:r>
        <w:rPr>
          <w:rStyle w:val="KeywordTok"/>
        </w:rPr>
        <w:t xml:space="preserve">rating</w:t>
      </w:r>
      <w:r>
        <w:rPr>
          <w:rStyle w:val="NormalTok"/>
        </w:rPr>
        <w:t xml:space="preserve">&gt;</w:t>
      </w:r>
      <w:r>
        <w:br/>
      </w:r>
      <w:r>
        <w:rPr>
          <w:rStyle w:val="NormalTok"/>
        </w:rPr>
        <w:t xml:space="preserve">      &lt;</w:t>
      </w:r>
      <w:r>
        <w:rPr>
          <w:rStyle w:val="KeywordTok"/>
        </w:rPr>
        <w:t xml:space="preserve">score</w:t>
      </w:r>
      <w:r>
        <w:rPr>
          <w:rStyle w:val="NormalTok"/>
        </w:rPr>
        <w:t xml:space="preserve">&gt;</w:t>
      </w:r>
      <w:r>
        <w:br/>
      </w:r>
      <w:r>
        <w:rPr>
          <w:rStyle w:val="NormalTok"/>
        </w:rPr>
        <w:t xml:space="preserve">        &lt;</w:t>
      </w:r>
      <w:r>
        <w:rPr>
          <w:rStyle w:val="KeywordTok"/>
        </w:rPr>
        <w:t xml:space="preserve">base</w:t>
      </w:r>
      <w:r>
        <w:rPr>
          <w:rStyle w:val="NormalTok"/>
        </w:rPr>
        <w:t xml:space="preserve">&gt;9.8&lt;/</w:t>
      </w:r>
      <w:r>
        <w:rPr>
          <w:rStyle w:val="KeywordTok"/>
        </w:rPr>
        <w:t xml:space="preserve">base</w:t>
      </w:r>
      <w:r>
        <w:rPr>
          <w:rStyle w:val="NormalTok"/>
        </w:rPr>
        <w:t xml:space="preserve">&gt;</w:t>
      </w:r>
      <w:r>
        <w:br/>
      </w:r>
      <w:r>
        <w:rPr>
          <w:rStyle w:val="NormalTok"/>
        </w:rPr>
        <w:t xml:space="preserve">        &lt;</w:t>
      </w:r>
      <w:r>
        <w:rPr>
          <w:rStyle w:val="KeywordTok"/>
        </w:rPr>
        <w:t xml:space="preserve">vector</w:t>
      </w:r>
      <w:r>
        <w:rPr>
          <w:rStyle w:val="NormalTok"/>
        </w:rPr>
        <w:t xml:space="preserve">&gt;CVSS:3.1/AV:N/AC:L/PR:N/UI:N/S:U/C:H/I:H/A:H&lt;/</w:t>
      </w:r>
      <w:r>
        <w:rPr>
          <w:rStyle w:val="KeywordTok"/>
        </w:rPr>
        <w:t xml:space="preserve">vector</w:t>
      </w:r>
      <w:r>
        <w:rPr>
          <w:rStyle w:val="NormalTok"/>
        </w:rPr>
        <w:t xml:space="preserve">&gt;</w:t>
      </w:r>
      <w:r>
        <w:br/>
      </w:r>
      <w:r>
        <w:rPr>
          <w:rStyle w:val="NormalTok"/>
        </w:rPr>
        <w:t xml:space="preserve">      &lt;/</w:t>
      </w:r>
      <w:r>
        <w:rPr>
          <w:rStyle w:val="KeywordTok"/>
        </w:rPr>
        <w:t xml:space="preserve">score</w:t>
      </w:r>
      <w:r>
        <w:rPr>
          <w:rStyle w:val="NormalTok"/>
        </w:rPr>
        <w:t xml:space="preserve">&gt;</w:t>
      </w:r>
      <w:r>
        <w:br/>
      </w:r>
      <w:r>
        <w:rPr>
          <w:rStyle w:val="NormalTok"/>
        </w:rPr>
        <w:t xml:space="preserve">      &lt;</w:t>
      </w:r>
      <w:r>
        <w:rPr>
          <w:rStyle w:val="KeywordTok"/>
        </w:rPr>
        <w:t xml:space="preserve">severity</w:t>
      </w:r>
      <w:r>
        <w:rPr>
          <w:rStyle w:val="NormalTok"/>
        </w:rPr>
        <w:t xml:space="preserve">&gt;critical&lt;/</w:t>
      </w:r>
      <w:r>
        <w:rPr>
          <w:rStyle w:val="KeywordTok"/>
        </w:rPr>
        <w:t xml:space="preserve">severity</w:t>
      </w:r>
      <w:r>
        <w:rPr>
          <w:rStyle w:val="NormalTok"/>
        </w:rPr>
        <w:t xml:space="preserve">&gt;</w:t>
      </w:r>
      <w:r>
        <w:br/>
      </w:r>
      <w:r>
        <w:rPr>
          <w:rStyle w:val="NormalTok"/>
        </w:rPr>
        <w:t xml:space="preserve">      &lt;</w:t>
      </w:r>
      <w:r>
        <w:rPr>
          <w:rStyle w:val="KeywordTok"/>
        </w:rPr>
        <w:t xml:space="preserve">method</w:t>
      </w:r>
      <w:r>
        <w:rPr>
          <w:rStyle w:val="NormalTok"/>
        </w:rPr>
        <w:t xml:space="preserve">&gt;CVSSv31&lt;/</w:t>
      </w:r>
      <w:r>
        <w:rPr>
          <w:rStyle w:val="KeywordTok"/>
        </w:rPr>
        <w:t xml:space="preserve">method</w:t>
      </w:r>
      <w:r>
        <w:rPr>
          <w:rStyle w:val="NormalTok"/>
        </w:rPr>
        <w:t xml:space="preserve">&gt;</w:t>
      </w:r>
      <w:r>
        <w:br/>
      </w:r>
      <w:r>
        <w:rPr>
          <w:rStyle w:val="NormalTok"/>
        </w:rPr>
        <w:t xml:space="preserve">    &lt;/</w:t>
      </w:r>
      <w:r>
        <w:rPr>
          <w:rStyle w:val="KeywordTok"/>
        </w:rPr>
        <w:t xml:space="preserve">rating</w:t>
      </w:r>
      <w:r>
        <w:rPr>
          <w:rStyle w:val="NormalTok"/>
        </w:rPr>
        <w:t xml:space="preserve">&gt;</w:t>
      </w:r>
      <w:r>
        <w:br/>
      </w:r>
      <w:r>
        <w:rPr>
          <w:rStyle w:val="NormalTok"/>
        </w:rPr>
        <w:t xml:space="preserve">  &lt;/</w:t>
      </w:r>
      <w:r>
        <w:rPr>
          <w:rStyle w:val="KeywordTok"/>
        </w:rPr>
        <w:t xml:space="preserve">ratings</w:t>
      </w:r>
      <w:r>
        <w:rPr>
          <w:rStyle w:val="NormalTok"/>
        </w:rPr>
        <w:t xml:space="preserve">&gt;</w:t>
      </w:r>
      <w:r>
        <w:br/>
      </w:r>
      <w:r>
        <w:rPr>
          <w:rStyle w:val="NormalTok"/>
        </w:rPr>
        <w:t xml:space="preserve">  &lt;</w:t>
      </w:r>
      <w:r>
        <w:rPr>
          <w:rStyle w:val="KeywordTok"/>
        </w:rPr>
        <w:t xml:space="preserve">affects</w:t>
      </w:r>
      <w:r>
        <w:rPr>
          <w:rStyle w:val="NormalTok"/>
        </w:rPr>
        <w:t xml:space="preserve">&gt;</w:t>
      </w:r>
      <w:r>
        <w:br/>
      </w:r>
      <w:r>
        <w:rPr>
          <w:rStyle w:val="NormalTok"/>
        </w:rPr>
        <w:t xml:space="preserve">    &lt;</w:t>
      </w:r>
      <w:r>
        <w:rPr>
          <w:rStyle w:val="KeywordTok"/>
        </w:rPr>
        <w:t xml:space="preserve">target</w:t>
      </w:r>
      <w:r>
        <w:rPr>
          <w:rStyle w:val="NormalTok"/>
        </w:rPr>
        <w:t xml:space="preserve">&gt;</w:t>
      </w:r>
      <w:r>
        <w:br/>
      </w:r>
      <w:r>
        <w:rPr>
          <w:rStyle w:val="NormalTok"/>
        </w:rPr>
        <w:t xml:space="preserve">      &lt;</w:t>
      </w:r>
      <w:r>
        <w:rPr>
          <w:rStyle w:val="KeywordTok"/>
        </w:rPr>
        <w:t xml:space="preserve">ref</w:t>
      </w:r>
      <w:r>
        <w:rPr>
          <w:rStyle w:val="NormalTok"/>
        </w:rPr>
        <w:t xml:space="preserve">&gt;urn:cdx:package-purl/pkg:pypi/requests@2.28.0&lt;/</w:t>
      </w:r>
      <w:r>
        <w:rPr>
          <w:rStyle w:val="KeywordTok"/>
        </w:rPr>
        <w:t xml:space="preserve">ref</w:t>
      </w:r>
      <w:r>
        <w:rPr>
          <w:rStyle w:val="NormalTok"/>
        </w:rPr>
        <w:t xml:space="preserve">&gt;</w:t>
      </w:r>
      <w:r>
        <w:br/>
      </w:r>
      <w:r>
        <w:rPr>
          <w:rStyle w:val="NormalTok"/>
        </w:rPr>
        <w:t xml:space="preserve">    &lt;/</w:t>
      </w:r>
      <w:r>
        <w:rPr>
          <w:rStyle w:val="KeywordTok"/>
        </w:rPr>
        <w:t xml:space="preserve">target</w:t>
      </w:r>
      <w:r>
        <w:rPr>
          <w:rStyle w:val="NormalTok"/>
        </w:rPr>
        <w:t xml:space="preserve">&gt;</w:t>
      </w:r>
      <w:r>
        <w:br/>
      </w:r>
      <w:r>
        <w:rPr>
          <w:rStyle w:val="NormalTok"/>
        </w:rPr>
        <w:t xml:space="preserve">  &lt;/</w:t>
      </w:r>
      <w:r>
        <w:rPr>
          <w:rStyle w:val="KeywordTok"/>
        </w:rPr>
        <w:t xml:space="preserve">affects</w:t>
      </w:r>
      <w:r>
        <w:rPr>
          <w:rStyle w:val="NormalTok"/>
        </w:rPr>
        <w:t xml:space="preserve">&gt;</w:t>
      </w:r>
      <w:r>
        <w:br/>
      </w:r>
      <w:r>
        <w:rPr>
          <w:rStyle w:val="NormalTok"/>
        </w:rPr>
        <w:t xml:space="preserve">  &lt;</w:t>
      </w:r>
      <w:r>
        <w:rPr>
          <w:rStyle w:val="KeywordTok"/>
        </w:rPr>
        <w:t xml:space="preserve">analysis</w:t>
      </w:r>
      <w:r>
        <w:rPr>
          <w:rStyle w:val="NormalTok"/>
        </w:rPr>
        <w:t xml:space="preserve">&gt;</w:t>
      </w:r>
      <w:r>
        <w:br/>
      </w:r>
      <w:r>
        <w:rPr>
          <w:rStyle w:val="NormalTok"/>
        </w:rPr>
        <w:t xml:space="preserve">    &lt;</w:t>
      </w:r>
      <w:r>
        <w:rPr>
          <w:rStyle w:val="KeywordTok"/>
        </w:rPr>
        <w:t xml:space="preserve">state</w:t>
      </w:r>
      <w:r>
        <w:rPr>
          <w:rStyle w:val="NormalTok"/>
        </w:rPr>
        <w:t xml:space="preserve">&gt;exploitable&lt;/</w:t>
      </w:r>
      <w:r>
        <w:rPr>
          <w:rStyle w:val="KeywordTok"/>
        </w:rPr>
        <w:t xml:space="preserve">state</w:t>
      </w:r>
      <w:r>
        <w:rPr>
          <w:rStyle w:val="NormalTok"/>
        </w:rPr>
        <w:t xml:space="preserve">&gt;</w:t>
      </w:r>
      <w:r>
        <w:br/>
      </w:r>
      <w:r>
        <w:rPr>
          <w:rStyle w:val="NormalTok"/>
        </w:rPr>
        <w:t xml:space="preserve">    &lt;</w:t>
      </w:r>
      <w:r>
        <w:rPr>
          <w:rStyle w:val="KeywordTok"/>
        </w:rPr>
        <w:t xml:space="preserve">detail</w:t>
      </w:r>
      <w:r>
        <w:rPr>
          <w:rStyle w:val="NormalTok"/>
        </w:rPr>
        <w:t xml:space="preserve">&gt;Network-accessible API endpoint uses this version&lt;/</w:t>
      </w:r>
      <w:r>
        <w:rPr>
          <w:rStyle w:val="KeywordTok"/>
        </w:rPr>
        <w:t xml:space="preserve">detail</w:t>
      </w:r>
      <w:r>
        <w:rPr>
          <w:rStyle w:val="NormalTok"/>
        </w:rPr>
        <w:t xml:space="preserve">&gt;</w:t>
      </w:r>
      <w:r>
        <w:br/>
      </w:r>
      <w:r>
        <w:rPr>
          <w:rStyle w:val="NormalTok"/>
        </w:rPr>
        <w:t xml:space="preserve">    &lt;</w:t>
      </w:r>
      <w:r>
        <w:rPr>
          <w:rStyle w:val="KeywordTok"/>
        </w:rPr>
        <w:t xml:space="preserve">response</w:t>
      </w:r>
      <w:r>
        <w:rPr>
          <w:rStyle w:val="NormalTok"/>
        </w:rPr>
        <w:t xml:space="preserve">&gt;patch_available&lt;/</w:t>
      </w:r>
      <w:r>
        <w:rPr>
          <w:rStyle w:val="KeywordTok"/>
        </w:rPr>
        <w:t xml:space="preserve">response</w:t>
      </w:r>
      <w:r>
        <w:rPr>
          <w:rStyle w:val="NormalTok"/>
        </w:rPr>
        <w:t xml:space="preserve">&gt;</w:t>
      </w:r>
      <w:r>
        <w:br/>
      </w:r>
      <w:r>
        <w:rPr>
          <w:rStyle w:val="NormalTok"/>
        </w:rPr>
        <w:t xml:space="preserve">  &lt;/</w:t>
      </w:r>
      <w:r>
        <w:rPr>
          <w:rStyle w:val="KeywordTok"/>
        </w:rPr>
        <w:t xml:space="preserve">analysis</w:t>
      </w:r>
      <w:r>
        <w:rPr>
          <w:rStyle w:val="NormalTok"/>
        </w:rPr>
        <w:t xml:space="preserve">&gt;</w:t>
      </w:r>
      <w:r>
        <w:br/>
      </w:r>
      <w:r>
        <w:rPr>
          <w:rStyle w:val="NormalTok"/>
        </w:rPr>
        <w:t xml:space="preserve">&lt;/</w:t>
      </w:r>
      <w:r>
        <w:rPr>
          <w:rStyle w:val="KeywordTok"/>
        </w:rPr>
        <w:t xml:space="preserve">vulnerability</w:t>
      </w:r>
      <w:r>
        <w:rPr>
          <w:rStyle w:val="NormalTok"/>
        </w:rPr>
        <w:t xml:space="preserve">&gt;</w:t>
      </w:r>
    </w:p>
    <w:bookmarkEnd w:id="17"/>
    <w:bookmarkStart w:id="18" w:name="cisa-kev-integration"/>
    <w:p>
      <w:pPr>
        <w:pStyle w:val="Heading2"/>
      </w:pPr>
      <w:r>
        <w:t xml:space="preserve">3.2 CISA KEV Integration</w:t>
      </w:r>
    </w:p>
    <w:p>
      <w:pPr>
        <w:pStyle w:val="FirstParagraph"/>
      </w:pPr>
      <w:r>
        <w:t xml:space="preserve">The VDR pipeline integrates with the CISA Known Exploited Vulnerabilities (KEV)</w:t>
      </w:r>
      <w:r>
        <w:t xml:space="preserve"> </w:t>
      </w:r>
      <w:r>
        <w:t xml:space="preserve">catalog. Any CVE in the SBOM that appears in the KEV catalog is automatically</w:t>
      </w:r>
      <w:r>
        <w:t xml:space="preserve"> </w:t>
      </w:r>
      <w:r>
        <w:t xml:space="preserve">escalated to P0. CISA’s KEV catalog assigns each entry its own remediation due</w:t>
      </w:r>
      <w:r>
        <w:t xml:space="preserve"> </w:t>
      </w:r>
      <w:r>
        <w:t xml:space="preserve">date (the roughly two-week window applies to recently added CVEs; older</w:t>
      </w:r>
      <w:r>
        <w:t xml:space="preserve"> </w:t>
      </w:r>
      <w:r>
        <w:t xml:space="preserve">entries carry longer deadlines), and the clock runs from the date CISA adds</w:t>
      </w:r>
      <w:r>
        <w:t xml:space="preserve"> </w:t>
      </w:r>
      <w:r>
        <w:t xml:space="preserve">the CVE to the catalog, not from disclosure. The pipeline drives the SLA off</w:t>
      </w:r>
      <w:r>
        <w:t xml:space="preserve"> </w:t>
      </w:r>
      <w:r>
        <w:t xml:space="preserve">each entry’s</w:t>
      </w:r>
      <w:r>
        <w:t xml:space="preserve"> </w:t>
      </w:r>
      <w:r>
        <w:rPr>
          <w:rStyle w:val="VerbatimChar"/>
        </w:rPr>
        <w:t xml:space="preserve">dueDate</w:t>
      </w:r>
      <w:r>
        <w:t xml:space="preserve">.</w:t>
      </w:r>
    </w:p>
    <w:p>
      <w:pPr>
        <w:pStyle w:val="SourceCode"/>
      </w:pPr>
      <w:r>
        <w:rPr>
          <w:rStyle w:val="CommentTok"/>
        </w:rPr>
        <w:t xml:space="preserve"># scripts/kev_triage.py — CI step after VDR generation</w:t>
      </w:r>
      <w:r>
        <w:br/>
      </w:r>
      <w:r>
        <w:rPr>
          <w:rStyle w:val="ImportTok"/>
        </w:rPr>
        <w:t xml:space="preserve">import</w:t>
      </w:r>
      <w:r>
        <w:rPr>
          <w:rStyle w:val="NormalTok"/>
        </w:rPr>
        <w:t xml:space="preserve"> json, requests</w:t>
      </w:r>
      <w:r>
        <w:br/>
      </w:r>
      <w:r>
        <w:br/>
      </w:r>
      <w:r>
        <w:rPr>
          <w:rStyle w:val="NormalTok"/>
        </w:rPr>
        <w:t xml:space="preserve">KEV_URL </w:t>
      </w:r>
      <w:r>
        <w:rPr>
          <w:rStyle w:val="OperatorTok"/>
        </w:rPr>
        <w:t xml:space="preserve">=</w:t>
      </w:r>
      <w:r>
        <w:rPr>
          <w:rStyle w:val="NormalTok"/>
        </w:rPr>
        <w:t xml:space="preserve"> </w:t>
      </w:r>
      <w:r>
        <w:rPr>
          <w:rStyle w:val="StringTok"/>
        </w:rPr>
        <w:t xml:space="preserve">"https://www.cisa.gov/sites/default/files/feeds/known_exploited_vulnerabilities.json"</w:t>
      </w:r>
      <w:r>
        <w:br/>
      </w:r>
      <w:r>
        <w:br/>
      </w:r>
      <w:r>
        <w:rPr>
          <w:rStyle w:val="KeywordTok"/>
        </w:rPr>
        <w:t xml:space="preserve">def</w:t>
      </w:r>
      <w:r>
        <w:rPr>
          <w:rStyle w:val="NormalTok"/>
        </w:rPr>
        <w:t xml:space="preserve"> triage_against_kev(vdr_path: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mmentTok"/>
        </w:rPr>
        <w:t xml:space="preserve"># Each KEV entry carries its own dueDate; the KEV catalog sets a per-entry</w:t>
      </w:r>
      <w:r>
        <w:br/>
      </w:r>
      <w:r>
        <w:rPr>
          <w:rStyle w:val="NormalTok"/>
        </w:rPr>
        <w:t xml:space="preserve">    </w:t>
      </w:r>
      <w:r>
        <w:rPr>
          <w:rStyle w:val="CommentTok"/>
        </w:rPr>
        <w:t xml:space="preserve"># remediation deadline measured from KEV catalog addition, not a flat window.</w:t>
      </w:r>
      <w:r>
        <w:br/>
      </w:r>
      <w:r>
        <w:rPr>
          <w:rStyle w:val="NormalTok"/>
        </w:rPr>
        <w:t xml:space="preserve">    kev </w:t>
      </w:r>
      <w:r>
        <w:rPr>
          <w:rStyle w:val="OperatorTok"/>
        </w:rPr>
        <w:t xml:space="preserve">=</w:t>
      </w:r>
      <w:r>
        <w:rPr>
          <w:rStyle w:val="NormalTok"/>
        </w:rPr>
        <w:t xml:space="preserve"> {e[</w:t>
      </w:r>
      <w:r>
        <w:rPr>
          <w:rStyle w:val="StringTok"/>
        </w:rPr>
        <w:t xml:space="preserve">"cveID"</w:t>
      </w:r>
      <w:r>
        <w:rPr>
          <w:rStyle w:val="NormalTok"/>
        </w:rPr>
        <w:t xml:space="preserve">]: e </w:t>
      </w:r>
      <w:r>
        <w:rPr>
          <w:rStyle w:val="ControlFlowTok"/>
        </w:rPr>
        <w:t xml:space="preserve">for</w:t>
      </w:r>
      <w:r>
        <w:rPr>
          <w:rStyle w:val="NormalTok"/>
        </w:rPr>
        <w:t xml:space="preserve"> e </w:t>
      </w:r>
      <w:r>
        <w:rPr>
          <w:rStyle w:val="KeywordTok"/>
        </w:rPr>
        <w:t xml:space="preserve">in</w:t>
      </w:r>
      <w:r>
        <w:rPr>
          <w:rStyle w:val="NormalTok"/>
        </w:rPr>
        <w:t xml:space="preserve"> requests.get(KEV_URL).json[</w:t>
      </w:r>
      <w:r>
        <w:rPr>
          <w:rStyle w:val="StringTok"/>
        </w:rPr>
        <w:t xml:space="preserve">"vulnerabilities"</w:t>
      </w:r>
      <w:r>
        <w:rPr>
          <w:rStyle w:val="NormalTok"/>
        </w:rPr>
        <w:t xml:space="preserve">]}</w:t>
      </w:r>
      <w:r>
        <w:br/>
      </w:r>
      <w:r>
        <w:rPr>
          <w:rStyle w:val="NormalTok"/>
        </w:rPr>
        <w:t xml:space="preserve">    vdr </w:t>
      </w:r>
      <w:r>
        <w:rPr>
          <w:rStyle w:val="OperatorTok"/>
        </w:rPr>
        <w:t xml:space="preserve">=</w:t>
      </w:r>
      <w:r>
        <w:rPr>
          <w:rStyle w:val="NormalTok"/>
        </w:rPr>
        <w:t xml:space="preserve"> json.loads(</w:t>
      </w:r>
      <w:r>
        <w:rPr>
          <w:rStyle w:val="BuiltInTok"/>
        </w:rPr>
        <w:t xml:space="preserve">open</w:t>
      </w:r>
      <w:r>
        <w:rPr>
          <w:rStyle w:val="NormalTok"/>
        </w:rPr>
        <w:t xml:space="preserve">(vdr_path).read)</w:t>
      </w:r>
      <w:r>
        <w:br/>
      </w:r>
      <w:r>
        <w:rPr>
          <w:rStyle w:val="NormalTok"/>
        </w:rPr>
        <w:t xml:space="preserve">    escalations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vuln </w:t>
      </w:r>
      <w:r>
        <w:rPr>
          <w:rStyle w:val="KeywordTok"/>
        </w:rPr>
        <w:t xml:space="preserve">in</w:t>
      </w:r>
      <w:r>
        <w:rPr>
          <w:rStyle w:val="NormalTok"/>
        </w:rPr>
        <w:t xml:space="preserve"> vdr.get(</w:t>
      </w:r>
      <w:r>
        <w:rPr>
          <w:rStyle w:val="StringTok"/>
        </w:rPr>
        <w:t xml:space="preserve">"vulnerabilities"</w:t>
      </w:r>
      <w:r>
        <w:rPr>
          <w:rStyle w:val="NormalTok"/>
        </w:rPr>
        <w:t xml:space="preserve">, []):</w:t>
      </w:r>
      <w:r>
        <w:br/>
      </w:r>
      <w:r>
        <w:rPr>
          <w:rStyle w:val="NormalTok"/>
        </w:rPr>
        <w:t xml:space="preserve">        cve_id </w:t>
      </w:r>
      <w:r>
        <w:rPr>
          <w:rStyle w:val="OperatorTok"/>
        </w:rPr>
        <w:t xml:space="preserve">=</w:t>
      </w:r>
      <w:r>
        <w:rPr>
          <w:rStyle w:val="NormalTok"/>
        </w:rPr>
        <w:t xml:space="preserve"> vuln.get(</w:t>
      </w:r>
      <w:r>
        <w:rPr>
          <w:rStyle w:val="StringTok"/>
        </w:rPr>
        <w:t xml:space="preserve">"id"</w:t>
      </w:r>
      <w:r>
        <w:rPr>
          <w:rStyle w:val="NormalTok"/>
        </w:rPr>
        <w:t xml:space="preserve">, </w:t>
      </w:r>
      <w:r>
        <w:rPr>
          <w:rStyle w:val="StringTok"/>
        </w:rPr>
        <w:t xml:space="preserve">""</w:t>
      </w:r>
      <w:r>
        <w:rPr>
          <w:rStyle w:val="NormalTok"/>
        </w:rPr>
        <w:t xml:space="preserve">)</w:t>
      </w:r>
      <w:r>
        <w:br/>
      </w:r>
      <w:r>
        <w:rPr>
          <w:rStyle w:val="NormalTok"/>
        </w:rPr>
        <w:t xml:space="preserve">        entry </w:t>
      </w:r>
      <w:r>
        <w:rPr>
          <w:rStyle w:val="OperatorTok"/>
        </w:rPr>
        <w:t xml:space="preserve">=</w:t>
      </w:r>
      <w:r>
        <w:rPr>
          <w:rStyle w:val="NormalTok"/>
        </w:rPr>
        <w:t xml:space="preserve"> kev.get(cve_id)</w:t>
      </w:r>
      <w:r>
        <w:br/>
      </w:r>
      <w:r>
        <w:rPr>
          <w:rStyle w:val="NormalTok"/>
        </w:rPr>
        <w:t xml:space="preserve">        </w:t>
      </w:r>
      <w:r>
        <w:rPr>
          <w:rStyle w:val="ControlFlowTok"/>
        </w:rPr>
        <w:t xml:space="preserve">if</w:t>
      </w:r>
      <w:r>
        <w:rPr>
          <w:rStyle w:val="NormalTok"/>
        </w:rPr>
        <w:t xml:space="preserve"> entry:</w:t>
      </w:r>
      <w:r>
        <w:br/>
      </w:r>
      <w:r>
        <w:rPr>
          <w:rStyle w:val="NormalTok"/>
        </w:rPr>
        <w:t xml:space="preserve">            escalations.append({</w:t>
      </w:r>
      <w:r>
        <w:br/>
      </w:r>
      <w:r>
        <w:rPr>
          <w:rStyle w:val="NormalTok"/>
        </w:rPr>
        <w:t xml:space="preserve">                </w:t>
      </w:r>
      <w:r>
        <w:rPr>
          <w:rStyle w:val="StringTok"/>
        </w:rPr>
        <w:t xml:space="preserve">"cve"</w:t>
      </w:r>
      <w:r>
        <w:rPr>
          <w:rStyle w:val="NormalTok"/>
        </w:rPr>
        <w:t xml:space="preserve">: cve_id,</w:t>
      </w:r>
      <w:r>
        <w:br/>
      </w:r>
      <w:r>
        <w:rPr>
          <w:rStyle w:val="NormalTok"/>
        </w:rPr>
        <w:t xml:space="preserve">                </w:t>
      </w:r>
      <w:r>
        <w:rPr>
          <w:rStyle w:val="StringTok"/>
        </w:rPr>
        <w:t xml:space="preserve">"severity"</w:t>
      </w:r>
      <w:r>
        <w:rPr>
          <w:rStyle w:val="NormalTok"/>
        </w:rPr>
        <w:t xml:space="preserve">: vuln.get(</w:t>
      </w:r>
      <w:r>
        <w:rPr>
          <w:rStyle w:val="StringTok"/>
        </w:rPr>
        <w:t xml:space="preserve">"ratings"</w:t>
      </w:r>
      <w:r>
        <w:rPr>
          <w:rStyle w:val="NormalTok"/>
        </w:rPr>
        <w:t xml:space="preserve">, [{}])[</w:t>
      </w:r>
      <w:r>
        <w:rPr>
          <w:rStyle w:val="DecValTok"/>
        </w:rPr>
        <w:t xml:space="preserve">0</w:t>
      </w:r>
      <w:r>
        <w:rPr>
          <w:rStyle w:val="NormalTok"/>
        </w:rPr>
        <w:t xml:space="preserve">].get(</w:t>
      </w:r>
      <w:r>
        <w:rPr>
          <w:rStyle w:val="StringTok"/>
        </w:rPr>
        <w:t xml:space="preserve">"severity"</w:t>
      </w:r>
      <w:r>
        <w:rPr>
          <w:rStyle w:val="NormalTok"/>
        </w:rPr>
        <w:t xml:space="preserve">, </w:t>
      </w:r>
      <w:r>
        <w:rPr>
          <w:rStyle w:val="StringTok"/>
        </w:rPr>
        <w:t xml:space="preserve">"unknown"</w:t>
      </w:r>
      <w:r>
        <w:rPr>
          <w:rStyle w:val="NormalTok"/>
        </w:rPr>
        <w:t xml:space="preserve">),</w:t>
      </w:r>
      <w:r>
        <w:br/>
      </w:r>
      <w:r>
        <w:rPr>
          <w:rStyle w:val="NormalTok"/>
        </w:rPr>
        <w:t xml:space="preserve">                </w:t>
      </w:r>
      <w:r>
        <w:rPr>
          <w:rStyle w:val="StringTok"/>
        </w:rPr>
        <w:t xml:space="preserve">"kev_escalated"</w:t>
      </w:r>
      <w:r>
        <w:rPr>
          <w:rStyle w:val="NormalTok"/>
        </w:rPr>
        <w:t xml:space="preserve">: </w:t>
      </w:r>
      <w:r>
        <w:rPr>
          <w:rStyle w:val="VariableTok"/>
        </w:rPr>
        <w:t xml:space="preserve">True</w:t>
      </w:r>
      <w:r>
        <w:rPr>
          <w:rStyle w:val="NormalTok"/>
        </w:rPr>
        <w:t xml:space="preserve">,</w:t>
      </w:r>
      <w:r>
        <w:br/>
      </w:r>
      <w:r>
        <w:rPr>
          <w:rStyle w:val="NormalTok"/>
        </w:rPr>
        <w:t xml:space="preserve">                </w:t>
      </w:r>
      <w:r>
        <w:rPr>
          <w:rStyle w:val="StringTok"/>
        </w:rPr>
        <w:t xml:space="preserve">"kev_date_added"</w:t>
      </w:r>
      <w:r>
        <w:rPr>
          <w:rStyle w:val="NormalTok"/>
        </w:rPr>
        <w:t xml:space="preserve">: entry.get(</w:t>
      </w:r>
      <w:r>
        <w:rPr>
          <w:rStyle w:val="StringTok"/>
        </w:rPr>
        <w:t xml:space="preserve">"dateAdded"</w:t>
      </w:r>
      <w:r>
        <w:rPr>
          <w:rStyle w:val="NormalTok"/>
        </w:rPr>
        <w:t xml:space="preserve">),</w:t>
      </w:r>
      <w:r>
        <w:br/>
      </w:r>
      <w:r>
        <w:rPr>
          <w:rStyle w:val="NormalTok"/>
        </w:rPr>
        <w:t xml:space="preserve">                </w:t>
      </w:r>
      <w:r>
        <w:rPr>
          <w:rStyle w:val="StringTok"/>
        </w:rPr>
        <w:t xml:space="preserve">"kev_due_date"</w:t>
      </w:r>
      <w:r>
        <w:rPr>
          <w:rStyle w:val="NormalTok"/>
        </w:rPr>
        <w:t xml:space="preserve">: entry.get(</w:t>
      </w:r>
      <w:r>
        <w:rPr>
          <w:rStyle w:val="StringTok"/>
        </w:rPr>
        <w:t xml:space="preserve">"dueDate"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escalations</w:t>
      </w:r>
    </w:p>
    <w:p>
      <w:r>
        <w:pict>
          <v:rect style="width:0;height:1.5pt" o:hralign="center" o:hrstd="t" o:hr="t"/>
        </w:pict>
      </w:r>
    </w:p>
    <w:bookmarkEnd w:id="18"/>
    <w:bookmarkEnd w:id="19"/>
    <w:bookmarkStart w:id="23" w:name="X1f0fa402021e89c3afcfce49364de01d7389407"/>
    <w:p>
      <w:pPr>
        <w:pStyle w:val="Heading1"/>
      </w:pPr>
      <w:r>
        <w:t xml:space="preserve">4. Vulnerability Exploitability eXchange (VEX)</w:t>
      </w:r>
    </w:p>
    <w:p>
      <w:pPr>
        <w:pStyle w:val="FirstParagraph"/>
      </w:pPr>
      <w:r>
        <w:t xml:space="preserve">VEX is the assertion layer — for every CVE in the VDR, the agency asserts</w:t>
      </w:r>
      <w:r>
        <w:t xml:space="preserve"> </w:t>
      </w:r>
      <w:r>
        <w:t xml:space="preserve">whether it is exploitable in the specific deployment context.</w:t>
      </w:r>
    </w:p>
    <w:bookmarkStart w:id="20" w:name="vex-status-values"/>
    <w:p>
      <w:pPr>
        <w:pStyle w:val="Heading2"/>
      </w:pPr>
      <w:r>
        <w:t xml:space="preserve">4.1 VEX Status Values</w:t>
      </w:r>
    </w:p>
    <w:p>
      <w:pPr>
        <w:pStyle w:val="TableCaption"/>
      </w:pPr>
      <w:r>
        <w:t xml:space="preserve">VEX Status Values</w:t>
      </w:r>
    </w:p>
    <w:tbl>
      <w:tblPr>
        <w:tblStyle w:val="Table"/>
        <w:tblW w:type="pct" w:w="5000"/>
        <w:tblLayout w:type="fixed"/>
        <w:tblLook w:firstRow="1" w:lastRow="0" w:firstColumn="0" w:lastColumn="0" w:noHBand="0" w:noVBand="0" w:val="0020"/>
        <w:tblCaption w:val="VEX Status Values"/>
      </w:tblPr>
      <w:tblGrid>
        <w:gridCol w:w="2436"/>
        <w:gridCol w:w="2741"/>
        <w:gridCol w:w="2741"/>
      </w:tblGrid>
      <w:tr>
        <w:trPr>
          <w:tblHeader w:val="on"/>
        </w:trPr>
        <w:tc>
          <w:tcPr/>
          <w:p>
            <w:pPr>
              <w:pStyle w:val="Compact"/>
            </w:pPr>
            <w:r>
              <w:t xml:space="preserve">Status</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not_affected</w:t>
            </w:r>
          </w:p>
        </w:tc>
        <w:tc>
          <w:tcPr/>
          <w:p>
            <w:pPr>
              <w:pStyle w:val="Compact"/>
            </w:pPr>
            <w:r>
              <w:t xml:space="preserve">Vulnerability exists in component but cannot be exploited</w:t>
            </w:r>
          </w:p>
        </w:tc>
        <w:tc>
          <w:tcPr/>
          <w:p>
            <w:pPr>
              <w:pStyle w:val="Compact"/>
            </w:pPr>
            <w:r>
              <w:t xml:space="preserve">Library function not called; OS feature not enabled</w:t>
            </w:r>
          </w:p>
        </w:tc>
      </w:tr>
      <w:tr>
        <w:tc>
          <w:tcPr/>
          <w:p>
            <w:pPr>
              <w:pStyle w:val="Compact"/>
            </w:pPr>
            <w:r>
              <w:rPr>
                <w:rStyle w:val="VerbatimChar"/>
              </w:rPr>
              <w:t xml:space="preserve">affected</w:t>
            </w:r>
          </w:p>
        </w:tc>
        <w:tc>
          <w:tcPr/>
          <w:p>
            <w:pPr>
              <w:pStyle w:val="Compact"/>
            </w:pPr>
            <w:r>
              <w:t xml:space="preserve">Vulnerability is exploitable — remediation underway</w:t>
            </w:r>
          </w:p>
        </w:tc>
        <w:tc>
          <w:tcPr/>
          <w:p>
            <w:pPr>
              <w:pStyle w:val="Compact"/>
            </w:pPr>
            <w:r>
              <w:t xml:space="preserve">Production system uses the affected code path</w:t>
            </w:r>
          </w:p>
        </w:tc>
      </w:tr>
      <w:tr>
        <w:tc>
          <w:tcPr/>
          <w:p>
            <w:pPr>
              <w:pStyle w:val="Compact"/>
            </w:pPr>
            <w:r>
              <w:rPr>
                <w:rStyle w:val="VerbatimChar"/>
              </w:rPr>
              <w:t xml:space="preserve">fixed</w:t>
            </w:r>
          </w:p>
        </w:tc>
        <w:tc>
          <w:tcPr/>
          <w:p>
            <w:pPr>
              <w:pStyle w:val="Compact"/>
            </w:pPr>
            <w:r>
              <w:t xml:space="preserve">Component has been patched to a non-vulnerable version</w:t>
            </w:r>
          </w:p>
        </w:tc>
        <w:tc>
          <w:tcPr/>
          <w:p>
            <w:pPr>
              <w:pStyle w:val="Compact"/>
            </w:pPr>
            <w:r>
              <w:t xml:space="preserve">CVE remediated in current deployment</w:t>
            </w:r>
          </w:p>
        </w:tc>
      </w:tr>
      <w:tr>
        <w:tc>
          <w:tcPr/>
          <w:p>
            <w:pPr>
              <w:pStyle w:val="Compact"/>
            </w:pPr>
            <w:r>
              <w:rPr>
                <w:rStyle w:val="VerbatimChar"/>
              </w:rPr>
              <w:t xml:space="preserve">under_investigation</w:t>
            </w:r>
          </w:p>
        </w:tc>
        <w:tc>
          <w:tcPr/>
          <w:p>
            <w:pPr>
              <w:pStyle w:val="Compact"/>
            </w:pPr>
            <w:r>
              <w:t xml:space="preserve">Exploitability being analyzed</w:t>
            </w:r>
          </w:p>
        </w:tc>
        <w:tc>
          <w:tcPr/>
          <w:p>
            <w:pPr>
              <w:pStyle w:val="Compact"/>
            </w:pPr>
            <w:r>
              <w:t xml:space="preserve">New CVE, analysis in progress (30-day internal triage SLA)</w:t>
            </w:r>
          </w:p>
        </w:tc>
      </w:tr>
    </w:tbl>
    <w:bookmarkEnd w:id="20"/>
    <w:bookmarkStart w:id="21" w:name="vex-document-structure-openvex"/>
    <w:p>
      <w:pPr>
        <w:pStyle w:val="Heading2"/>
      </w:pPr>
      <w:r>
        <w:t xml:space="preserve">4.2 VEX Document Structure (OpenVEX)</w:t>
      </w:r>
    </w:p>
    <w:p>
      <w:pPr>
        <w:pStyle w:val="SourceCode"/>
      </w:pPr>
      <w:r>
        <w:rPr>
          <w:rStyle w:val="FunctionTok"/>
        </w:rPr>
        <w:t xml:space="preserve">{</w:t>
      </w:r>
      <w:r>
        <w:br/>
      </w:r>
      <w:r>
        <w:rPr>
          <w:rStyle w:val="NormalTok"/>
        </w:rPr>
        <w:t xml:space="preserve">  </w:t>
      </w:r>
      <w:r>
        <w:rPr>
          <w:rStyle w:val="DataTypeTok"/>
        </w:rPr>
        <w:t xml:space="preserve">"@context"</w:t>
      </w:r>
      <w:r>
        <w:rPr>
          <w:rStyle w:val="FunctionTok"/>
        </w:rPr>
        <w:t xml:space="preserve">:</w:t>
      </w:r>
      <w:r>
        <w:rPr>
          <w:rStyle w:val="NormalTok"/>
        </w:rPr>
        <w:t xml:space="preserve"> </w:t>
      </w:r>
      <w:r>
        <w:rPr>
          <w:rStyle w:val="StringTok"/>
        </w:rPr>
        <w:t xml:space="preserve">"https://openvex.dev/ns/v0.2.0"</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"https://sbom.agency.gov/vex/2026-Q3/vex-20260703.json"</w:t>
      </w:r>
      <w:r>
        <w:rPr>
          <w:rStyle w:val="FunctionTok"/>
        </w:rPr>
        <w:t xml:space="preserve">,</w:t>
      </w:r>
      <w:r>
        <w:br/>
      </w:r>
      <w:r>
        <w:rPr>
          <w:rStyle w:val="NormalTok"/>
        </w:rPr>
        <w:t xml:space="preserve">  </w:t>
      </w:r>
      <w:r>
        <w:rPr>
          <w:rStyle w:val="DataTypeTok"/>
        </w:rPr>
        <w:t xml:space="preserve">"author"</w:t>
      </w:r>
      <w:r>
        <w:rPr>
          <w:rStyle w:val="FunctionTok"/>
        </w:rPr>
        <w:t xml:space="preserve">:</w:t>
      </w:r>
      <w:r>
        <w:rPr>
          <w:rStyle w:val="NormalTok"/>
        </w:rPr>
        <w:t xml:space="preserve"> </w:t>
      </w:r>
      <w:r>
        <w:rPr>
          <w:rStyle w:val="StringTok"/>
        </w:rPr>
        <w:t xml:space="preserve">"Agency Cloud Services Team"</w:t>
      </w:r>
      <w:r>
        <w:rPr>
          <w:rStyle w:val="FunctionTok"/>
        </w:rPr>
        <w:t xml:space="preserve">,</w:t>
      </w:r>
      <w:r>
        <w:br/>
      </w:r>
      <w:r>
        <w:rPr>
          <w:rStyle w:val="NormalTok"/>
        </w:rPr>
        <w:t xml:space="preserve">  </w:t>
      </w:r>
      <w:r>
        <w:rPr>
          <w:rStyle w:val="DataTypeTok"/>
        </w:rPr>
        <w:t xml:space="preserve">"timestamp"</w:t>
      </w:r>
      <w:r>
        <w:rPr>
          <w:rStyle w:val="FunctionTok"/>
        </w:rPr>
        <w:t xml:space="preserve">:</w:t>
      </w:r>
      <w:r>
        <w:rPr>
          <w:rStyle w:val="NormalTok"/>
        </w:rPr>
        <w:t xml:space="preserve"> </w:t>
      </w:r>
      <w:r>
        <w:rPr>
          <w:rStyle w:val="StringTok"/>
        </w:rPr>
        <w:t xml:space="preserve">"2026-07-03T00:00:00Z"</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"statements"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"vulnerability"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"https://nvd.nist.gov/vuln/detail/CVE-2024-12345"</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"CVE-2024-12345"</w:t>
      </w:r>
      <w:r>
        <w:br/>
      </w:r>
      <w:r>
        <w:rPr>
          <w:rStyle w:val="NormalTok"/>
        </w:rPr>
        <w:t xml:space="preserve">      </w:t>
      </w:r>
      <w:r>
        <w:rPr>
          <w:rStyle w:val="FunctionTok"/>
        </w:rPr>
        <w:t xml:space="preserve">},</w:t>
      </w:r>
      <w:r>
        <w:br/>
      </w:r>
      <w:r>
        <w:rPr>
          <w:rStyle w:val="NormalTok"/>
        </w:rPr>
        <w:t xml:space="preserve">      </w:t>
      </w:r>
      <w:r>
        <w:rPr>
          <w:rStyle w:val="DataTypeTok"/>
        </w:rPr>
        <w:t xml:space="preserve">"products"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"pkg:pypi/requests@2.28.0"</w:t>
      </w:r>
      <w:r>
        <w:rPr>
          <w:rStyle w:val="FunctionTok"/>
        </w:rPr>
        <w:t xml:space="preserve">,</w:t>
      </w:r>
      <w:r>
        <w:br/>
      </w:r>
      <w:r>
        <w:rPr>
          <w:rStyle w:val="NormalTok"/>
        </w:rPr>
        <w:t xml:space="preserve">          </w:t>
      </w:r>
      <w:r>
        <w:rPr>
          <w:rStyle w:val="DataTypeTok"/>
        </w:rPr>
        <w:t xml:space="preserve">"subcomponents"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"not_affected"</w:t>
      </w:r>
      <w:r>
        <w:rPr>
          <w:rStyle w:val="FunctionTok"/>
        </w:rPr>
        <w:t xml:space="preserve">,</w:t>
      </w:r>
      <w:r>
        <w:br/>
      </w:r>
      <w:r>
        <w:rPr>
          <w:rStyle w:val="NormalTok"/>
        </w:rPr>
        <w:t xml:space="preserve">      </w:t>
      </w:r>
      <w:r>
        <w:rPr>
          <w:rStyle w:val="DataTypeTok"/>
        </w:rPr>
        <w:t xml:space="preserve">"justification"</w:t>
      </w:r>
      <w:r>
        <w:rPr>
          <w:rStyle w:val="FunctionTok"/>
        </w:rPr>
        <w:t xml:space="preserve">:</w:t>
      </w:r>
      <w:r>
        <w:rPr>
          <w:rStyle w:val="NormalTok"/>
        </w:rPr>
        <w:t xml:space="preserve"> </w:t>
      </w:r>
      <w:r>
        <w:rPr>
          <w:rStyle w:val="StringTok"/>
        </w:rPr>
        <w:t xml:space="preserve">"protected_by_mitigating_control"</w:t>
      </w:r>
      <w:r>
        <w:rPr>
          <w:rStyle w:val="FunctionTok"/>
        </w:rPr>
        <w:t xml:space="preserve">,</w:t>
      </w:r>
      <w:r>
        <w:br/>
      </w:r>
      <w:r>
        <w:rPr>
          <w:rStyle w:val="NormalTok"/>
        </w:rPr>
        <w:t xml:space="preserve">      </w:t>
      </w:r>
      <w:r>
        <w:rPr>
          <w:rStyle w:val="DataTypeTok"/>
        </w:rPr>
        <w:t xml:space="preserve">"impact_statement"</w:t>
      </w:r>
      <w:r>
        <w:rPr>
          <w:rStyle w:val="FunctionTok"/>
        </w:rPr>
        <w:t xml:space="preserve">:</w:t>
      </w:r>
      <w:r>
        <w:rPr>
          <w:rStyle w:val="NormalTok"/>
        </w:rPr>
        <w:t xml:space="preserve"> </w:t>
      </w:r>
      <w:r>
        <w:rPr>
          <w:rStyle w:val="StringTok"/>
        </w:rPr>
        <w:t xml:space="preserve">"Agency API gateway enforces input validation upstream of the affected code path. The vulnerable deserialization function is never called in production configuration."</w:t>
      </w:r>
      <w:r>
        <w:rPr>
          <w:rStyle w:val="FunctionTok"/>
        </w:rPr>
        <w:t xml:space="preserve">,</w:t>
      </w:r>
      <w:r>
        <w:br/>
      </w:r>
      <w:r>
        <w:rPr>
          <w:rStyle w:val="NormalTok"/>
        </w:rPr>
        <w:t xml:space="preserve">      </w:t>
      </w:r>
      <w:r>
        <w:rPr>
          <w:rStyle w:val="DataTypeTok"/>
        </w:rPr>
        <w:t xml:space="preserve">"action_statement"</w:t>
      </w:r>
      <w:r>
        <w:rPr>
          <w:rStyle w:val="FunctionTok"/>
        </w:rPr>
        <w:t xml:space="preserve">:</w:t>
      </w:r>
      <w:r>
        <w:rPr>
          <w:rStyle w:val="NormalTok"/>
        </w:rPr>
        <w:t xml:space="preserve"> </w:t>
      </w:r>
      <w:r>
        <w:rPr>
          <w:rStyle w:val="StringTok"/>
        </w:rPr>
        <w:t xml:space="preserve">"No action required. Controlled via API gateway policy."</w:t>
      </w:r>
      <w:r>
        <w:rPr>
          <w:rStyle w:val="FunctionTok"/>
        </w:rPr>
        <w:t xml:space="preserve">,</w:t>
      </w:r>
      <w:r>
        <w:br/>
      </w:r>
      <w:r>
        <w:rPr>
          <w:rStyle w:val="NormalTok"/>
        </w:rPr>
        <w:t xml:space="preserve">      </w:t>
      </w:r>
      <w:r>
        <w:rPr>
          <w:rStyle w:val="DataTypeTok"/>
        </w:rPr>
        <w:t xml:space="preserve">"action_statement_timestamp"</w:t>
      </w:r>
      <w:r>
        <w:rPr>
          <w:rStyle w:val="FunctionTok"/>
        </w:rPr>
        <w:t xml:space="preserve">:</w:t>
      </w:r>
      <w:r>
        <w:rPr>
          <w:rStyle w:val="NormalTok"/>
        </w:rPr>
        <w:t xml:space="preserve"> </w:t>
      </w:r>
      <w:r>
        <w:rPr>
          <w:rStyle w:val="StringTok"/>
        </w:rPr>
        <w:t xml:space="preserve">"2026-07-03T00:00:00Z"</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21"/>
    <w:bookmarkStart w:id="22" w:name="vex-authoring-process"/>
    <w:p>
      <w:pPr>
        <w:pStyle w:val="Heading2"/>
      </w:pPr>
      <w:r>
        <w:t xml:space="preserve">4.3 VEX Authoring Process</w:t>
      </w:r>
    </w:p>
    <w:p>
      <w:pPr>
        <w:pStyle w:val="FirstParagraph"/>
      </w:pPr>
      <w:r>
        <w:t xml:space="preserve">VEX assertions require human judgment — automated tools can identify whether</w:t>
      </w:r>
      <w:r>
        <w:t xml:space="preserve"> </w:t>
      </w:r>
      <w:r>
        <w:t xml:space="preserve">a code path is reachable but cannot assert deployment-context exploitability.</w:t>
      </w:r>
      <w:r>
        <w:t xml:space="preserve"> </w:t>
      </w:r>
      <w:r>
        <w:t xml:space="preserve">The authoring process:</w:t>
      </w:r>
    </w:p>
    <w:p>
      <w:pPr>
        <w:pStyle w:val="Compact"/>
        <w:numPr>
          <w:ilvl w:val="0"/>
          <w:numId w:val="1003"/>
        </w:numPr>
      </w:pPr>
      <w:r>
        <w:rPr>
          <w:b/>
          <w:bCs/>
        </w:rPr>
        <w:t xml:space="preserve">Automated</w:t>
      </w:r>
      <w:r>
        <w:t xml:space="preserve">: Grype + SBOM produce the VDR (all CVEs)</w:t>
      </w:r>
    </w:p>
    <w:p>
      <w:pPr>
        <w:pStyle w:val="Compact"/>
        <w:numPr>
          <w:ilvl w:val="0"/>
          <w:numId w:val="1003"/>
        </w:numPr>
      </w:pPr>
      <w:r>
        <w:rPr>
          <w:b/>
          <w:bCs/>
        </w:rPr>
        <w:t xml:space="preserve">Triage</w:t>
      </w:r>
      <w:r>
        <w:t xml:space="preserve">: KEV check escalates P0 CVEs for immediate human review</w:t>
      </w:r>
    </w:p>
    <w:p>
      <w:pPr>
        <w:pStyle w:val="Compact"/>
        <w:numPr>
          <w:ilvl w:val="0"/>
          <w:numId w:val="1003"/>
        </w:numPr>
      </w:pPr>
      <w:r>
        <w:rPr>
          <w:b/>
          <w:bCs/>
        </w:rPr>
        <w:t xml:space="preserve">Analysis</w:t>
      </w:r>
      <w:r>
        <w:t xml:space="preserve">: Security team reviews each CVE for deployment-context exploitability</w:t>
      </w:r>
    </w:p>
    <w:p>
      <w:pPr>
        <w:pStyle w:val="Compact"/>
        <w:numPr>
          <w:ilvl w:val="0"/>
          <w:numId w:val="1003"/>
        </w:numPr>
      </w:pPr>
      <w:r>
        <w:rPr>
          <w:b/>
          <w:bCs/>
        </w:rPr>
        <w:t xml:space="preserve">Assertion</w:t>
      </w:r>
      <w:r>
        <w:t xml:space="preserve">: Security team authors VEX assertion with justification</w:t>
      </w:r>
    </w:p>
    <w:p>
      <w:pPr>
        <w:pStyle w:val="Compact"/>
        <w:numPr>
          <w:ilvl w:val="0"/>
          <w:numId w:val="1003"/>
        </w:numPr>
      </w:pPr>
      <w:r>
        <w:rPr>
          <w:b/>
          <w:bCs/>
        </w:rPr>
        <w:t xml:space="preserve">Sign + Publish</w:t>
      </w:r>
      <w:r>
        <w:t xml:space="preserve">: VEX signed with GPG key; filed to the agency evidence repository and shared with downstream consumers per CISA VEX guidance</w:t>
      </w:r>
    </w:p>
    <w:p>
      <w:pPr>
        <w:pStyle w:val="Compact"/>
        <w:numPr>
          <w:ilvl w:val="0"/>
          <w:numId w:val="1003"/>
        </w:numPr>
      </w:pPr>
      <w:r>
        <w:rPr>
          <w:b/>
          <w:bCs/>
        </w:rPr>
        <w:t xml:space="preserve">Ingest</w:t>
      </w:r>
      <w:r>
        <w:t xml:space="preserve">: Signed VEX stored in Azure Blob immutable tier; hash published to SBOM manifest</w:t>
      </w:r>
    </w:p>
    <w:p>
      <w:r>
        <w:pict>
          <v:rect style="width:0;height:1.5pt" o:hralign="center" o:hrstd="t" o:hr="t"/>
        </w:pict>
      </w:r>
    </w:p>
    <w:bookmarkEnd w:id="22"/>
    <w:bookmarkEnd w:id="23"/>
    <w:bookmarkStart w:id="24" w:name="vendor-disclosure-matrix"/>
    <w:p>
      <w:pPr>
        <w:pStyle w:val="Heading1"/>
      </w:pPr>
      <w:r>
        <w:t xml:space="preserve">5. Vendor Disclosure Matrix</w:t>
      </w:r>
    </w:p>
    <w:p>
      <w:pPr>
        <w:pStyle w:val="FirstParagraph"/>
      </w:pPr>
      <w:r>
        <w:t xml:space="preserve">SR-6 requires documented supplier assessments. The vendor disclosure matrix</w:t>
      </w:r>
      <w:r>
        <w:t xml:space="preserve"> </w:t>
      </w:r>
      <w:r>
        <w:t xml:space="preserve">maps each third-party component supplier to their security disclosure program</w:t>
      </w:r>
      <w:r>
        <w:t xml:space="preserve"> </w:t>
      </w:r>
      <w:r>
        <w:t xml:space="preserve">and FedRAMP authorization status.</w:t>
      </w:r>
    </w:p>
    <w:p>
      <w:pPr>
        <w:pStyle w:val="TableCaption"/>
      </w:pPr>
      <w:r>
        <w:t xml:space="preserve">Vendor Disclosure Matrix — SR-6 Evidence</w:t>
      </w:r>
    </w:p>
    <w:tbl>
      <w:tblPr>
        <w:tblStyle w:val="Table"/>
        <w:tblW w:type="pct" w:w="5000"/>
        <w:tblLayout w:type="fixed"/>
        <w:tblLook w:firstRow="1" w:lastRow="0" w:firstColumn="0" w:lastColumn="0" w:noHBand="0" w:noVBand="0" w:val="0020"/>
        <w:tblCaption w:val="Vendor Disclosure Matrix — SR-6 Evidence"/>
      </w:tblPr>
      <w:tblGrid>
        <w:gridCol w:w="1584"/>
        <w:gridCol w:w="1584"/>
        <w:gridCol w:w="1584"/>
        <w:gridCol w:w="1584"/>
        <w:gridCol w:w="1584"/>
      </w:tblGrid>
      <w:tr>
        <w:trPr>
          <w:tblHeader w:val="on"/>
        </w:trPr>
        <w:tc>
          <w:tcPr/>
          <w:p>
            <w:pPr>
              <w:pStyle w:val="Compact"/>
            </w:pPr>
            <w:r>
              <w:t xml:space="preserve">Supplier</w:t>
            </w:r>
          </w:p>
        </w:tc>
        <w:tc>
          <w:tcPr/>
          <w:p>
            <w:pPr>
              <w:pStyle w:val="Compact"/>
            </w:pPr>
            <w:r>
              <w:t xml:space="preserve">Products in SBOM</w:t>
            </w:r>
          </w:p>
        </w:tc>
        <w:tc>
          <w:tcPr/>
          <w:p>
            <w:pPr>
              <w:pStyle w:val="Compact"/>
            </w:pPr>
            <w:r>
              <w:t xml:space="preserve">FedRAMP Authorization</w:t>
            </w:r>
          </w:p>
        </w:tc>
        <w:tc>
          <w:tcPr/>
          <w:p>
            <w:pPr>
              <w:pStyle w:val="Compact"/>
            </w:pPr>
            <w:r>
              <w:t xml:space="preserve">SBOM Program</w:t>
            </w:r>
          </w:p>
        </w:tc>
        <w:tc>
          <w:tcPr/>
          <w:p>
            <w:pPr>
              <w:pStyle w:val="Compact"/>
            </w:pPr>
            <w:r>
              <w:t xml:space="preserve">VEX Accepted</w:t>
            </w:r>
          </w:p>
        </w:tc>
      </w:tr>
      <w:tr>
        <w:tc>
          <w:tcPr/>
          <w:p>
            <w:pPr>
              <w:pStyle w:val="Compact"/>
            </w:pPr>
            <w:r>
              <w:t xml:space="preserve">Anchore</w:t>
            </w:r>
          </w:p>
        </w:tc>
        <w:tc>
          <w:tcPr/>
          <w:p>
            <w:pPr>
              <w:pStyle w:val="Compact"/>
            </w:pPr>
            <w:r>
              <w:t xml:space="preserve">Syft, Grype</w:t>
            </w:r>
          </w:p>
        </w:tc>
        <w:tc>
          <w:tcPr/>
          <w:p>
            <w:pPr>
              <w:pStyle w:val="Compact"/>
            </w:pPr>
            <w:r>
              <w:t xml:space="preserve">N/A (tooling)</w:t>
            </w:r>
          </w:p>
        </w:tc>
        <w:tc>
          <w:tcPr/>
          <w:p>
            <w:pPr>
              <w:pStyle w:val="Compact"/>
            </w:pPr>
            <w:r>
              <w:t xml:space="preserve">Native CycloneDX</w:t>
            </w:r>
          </w:p>
        </w:tc>
        <w:tc>
          <w:tcPr/>
          <w:p>
            <w:pPr>
              <w:pStyle w:val="Compact"/>
            </w:pPr>
            <w:r>
              <w:t xml:space="preserve">Yes</w:t>
            </w:r>
          </w:p>
        </w:tc>
      </w:tr>
      <w:tr>
        <w:tc>
          <w:tcPr/>
          <w:p>
            <w:pPr>
              <w:pStyle w:val="Compact"/>
            </w:pPr>
            <w:r>
              <w:t xml:space="preserve">Microsoft</w:t>
            </w:r>
          </w:p>
        </w:tc>
        <w:tc>
          <w:tcPr/>
          <w:p>
            <w:pPr>
              <w:pStyle w:val="Compact"/>
            </w:pPr>
            <w:r>
              <w:t xml:space="preserve">Defender VM, Sentinel, Purview, Key Vault</w:t>
            </w:r>
          </w:p>
        </w:tc>
        <w:tc>
          <w:tcPr/>
          <w:p>
            <w:pPr>
              <w:pStyle w:val="Compact"/>
            </w:pPr>
            <w:r>
              <w:t xml:space="preserve">Yes — GCC Moderate (fedramp.gov/marketplace/products/MSO365MT)</w:t>
            </w:r>
          </w:p>
        </w:tc>
        <w:tc>
          <w:tcPr/>
          <w:p>
            <w:pPr>
              <w:pStyle w:val="Compact"/>
            </w:pPr>
            <w:r>
              <w:t xml:space="preserve">MSRC Security Update Guide</w:t>
            </w:r>
          </w:p>
        </w:tc>
        <w:tc>
          <w:tcPr/>
          <w:p>
            <w:pPr>
              <w:pStyle w:val="Compact"/>
            </w:pPr>
            <w:r>
              <w:t xml:space="preserve">Yes (MSRC VEX)</w:t>
            </w:r>
          </w:p>
        </w:tc>
      </w:tr>
      <w:tr>
        <w:tc>
          <w:tcPr/>
          <w:p>
            <w:pPr>
              <w:pStyle w:val="Compact"/>
            </w:pPr>
            <w:r>
              <w:t xml:space="preserve">Cisco</w:t>
            </w:r>
          </w:p>
        </w:tc>
        <w:tc>
          <w:tcPr/>
          <w:p>
            <w:pPr>
              <w:pStyle w:val="Compact"/>
            </w:pPr>
            <w:r>
              <w:t xml:space="preserve">SD-WAN (IOS XE, vManage)</w:t>
            </w:r>
          </w:p>
        </w:tc>
        <w:tc>
          <w:tcPr/>
          <w:p>
            <w:pPr>
              <w:pStyle w:val="Compact"/>
            </w:pPr>
            <w:r>
              <w:t xml:space="preserve">Yes — FedRAMP Moderate (FR2012534927)</w:t>
            </w:r>
          </w:p>
        </w:tc>
        <w:tc>
          <w:tcPr/>
          <w:p>
            <w:pPr>
              <w:pStyle w:val="Compact"/>
            </w:pPr>
            <w:r>
              <w:t xml:space="preserve">Cisco PSIRT</w:t>
            </w:r>
          </w:p>
        </w:tc>
        <w:tc>
          <w:tcPr/>
          <w:p>
            <w:pPr>
              <w:pStyle w:val="Compact"/>
            </w:pPr>
            <w:r>
              <w:t xml:space="preserve">Yes (OpenVEX)</w:t>
            </w:r>
          </w:p>
        </w:tc>
      </w:tr>
      <w:tr>
        <w:tc>
          <w:tcPr/>
          <w:p>
            <w:pPr>
              <w:pStyle w:val="Compact"/>
            </w:pPr>
            <w:r>
              <w:t xml:space="preserve">Infoblox</w:t>
            </w:r>
          </w:p>
        </w:tc>
        <w:tc>
          <w:tcPr/>
          <w:p>
            <w:pPr>
              <w:pStyle w:val="Compact"/>
            </w:pPr>
            <w:r>
              <w:t xml:space="preserve">NIOS Grid, BloxOne DDI</w:t>
            </w:r>
          </w:p>
        </w:tc>
        <w:tc>
          <w:tcPr/>
          <w:p>
            <w:pPr>
              <w:pStyle w:val="Compact"/>
            </w:pPr>
            <w:r>
              <w:t xml:space="preserve">Yes — FR2017257053</w:t>
            </w:r>
          </w:p>
        </w:tc>
        <w:tc>
          <w:tcPr/>
          <w:p>
            <w:pPr>
              <w:pStyle w:val="Compact"/>
            </w:pPr>
            <w:r>
              <w:t xml:space="preserve">Infoblox Security Portal</w:t>
            </w:r>
          </w:p>
        </w:tc>
        <w:tc>
          <w:tcPr/>
          <w:p>
            <w:pPr>
              <w:pStyle w:val="Compact"/>
            </w:pPr>
            <w:r>
              <w:t xml:space="preserve">Yes</w:t>
            </w:r>
          </w:p>
        </w:tc>
      </w:tr>
      <w:tr>
        <w:tc>
          <w:tcPr/>
          <w:p>
            <w:pPr>
              <w:pStyle w:val="Compact"/>
            </w:pPr>
            <w:r>
              <w:t xml:space="preserve">NIST</w:t>
            </w:r>
          </w:p>
        </w:tc>
        <w:tc>
          <w:tcPr/>
          <w:p>
            <w:pPr>
              <w:pStyle w:val="Compact"/>
            </w:pPr>
            <w:r>
              <w:t xml:space="preserve">NVD data feed</w:t>
            </w:r>
          </w:p>
        </w:tc>
        <w:tc>
          <w:tcPr/>
          <w:p>
            <w:pPr>
              <w:pStyle w:val="Compact"/>
            </w:pPr>
            <w:r>
              <w:t xml:space="preserve">N/A (data source)</w:t>
            </w:r>
          </w:p>
        </w:tc>
        <w:tc>
          <w:tcPr/>
          <w:p>
            <w:pPr>
              <w:pStyle w:val="Compact"/>
            </w:pPr>
            <w:r>
              <w:t xml:space="preserve">NVD JSON feed</w:t>
            </w:r>
          </w:p>
        </w:tc>
        <w:tc>
          <w:tcPr/>
          <w:p>
            <w:pPr>
              <w:pStyle w:val="Compact"/>
            </w:pPr>
            <w:r>
              <w:t xml:space="preserve">N/A</w:t>
            </w:r>
          </w:p>
        </w:tc>
      </w:tr>
      <w:tr>
        <w:tc>
          <w:tcPr/>
          <w:p>
            <w:pPr>
              <w:pStyle w:val="Compact"/>
            </w:pPr>
            <w:r>
              <w:t xml:space="preserve">CISA</w:t>
            </w:r>
          </w:p>
        </w:tc>
        <w:tc>
          <w:tcPr/>
          <w:p>
            <w:pPr>
              <w:pStyle w:val="Compact"/>
            </w:pPr>
            <w:r>
              <w:t xml:space="preserve">KEV catalog feed</w:t>
            </w:r>
          </w:p>
        </w:tc>
        <w:tc>
          <w:tcPr/>
          <w:p>
            <w:pPr>
              <w:pStyle w:val="Compact"/>
            </w:pPr>
            <w:r>
              <w:t xml:space="preserve">N/A (data source)</w:t>
            </w:r>
          </w:p>
        </w:tc>
        <w:tc>
          <w:tcPr/>
          <w:p>
            <w:pPr>
              <w:pStyle w:val="Compact"/>
            </w:pPr>
            <w:r>
              <w:t xml:space="preserve">KEV JSON feed</w:t>
            </w:r>
          </w:p>
        </w:tc>
        <w:tc>
          <w:tcPr/>
          <w:p>
            <w:pPr>
              <w:pStyle w:val="Compact"/>
            </w:pPr>
            <w:r>
              <w:t xml:space="preserve">N/A</w:t>
            </w:r>
          </w:p>
        </w:tc>
      </w:tr>
    </w:tbl>
    <w:p>
      <w:r>
        <w:pict>
          <v:rect style="width:0;height:1.5pt" o:hralign="center" o:hrstd="t" o:hr="t"/>
        </w:pict>
      </w:r>
    </w:p>
    <w:bookmarkEnd w:id="24"/>
    <w:bookmarkStart w:id="27" w:name="nist-sp-800-53-rev-5-control-closure"/>
    <w:p>
      <w:pPr>
        <w:pStyle w:val="Heading1"/>
      </w:pPr>
      <w:r>
        <w:t xml:space="preserve">6. NIST SP 800-53 Rev 5 Control Closure</w:t>
      </w:r>
    </w:p>
    <w:bookmarkStart w:id="25" w:name="sr-family-controls"/>
    <w:p>
      <w:pPr>
        <w:pStyle w:val="Heading2"/>
      </w:pPr>
      <w:r>
        <w:t xml:space="preserve">6.1 SR Family Controls</w:t>
      </w:r>
    </w:p>
    <w:p>
      <w:pPr>
        <w:pStyle w:val="TableCaption"/>
      </w:pPr>
      <w:r>
        <w:t xml:space="preserve">Vol IV Book 02 — NIST SP 800-53 Rev 5 Control Closure: SR Family</w:t>
      </w:r>
    </w:p>
    <w:tbl>
      <w:tblPr>
        <w:tblStyle w:val="Table"/>
        <w:tblW w:type="pct" w:w="5000"/>
        <w:tblLayout w:type="fixed"/>
        <w:tblLook w:firstRow="1" w:lastRow="0" w:firstColumn="0" w:lastColumn="0" w:noHBand="0" w:noVBand="0" w:val="0020"/>
        <w:tblCaption w:val="Vol IV Book 02 — NIST SP 800-53 Rev 5 Control Closure: SR Family"/>
      </w:tblPr>
      <w:tblGrid>
        <w:gridCol w:w="1584"/>
        <w:gridCol w:w="1584"/>
        <w:gridCol w:w="1584"/>
        <w:gridCol w:w="1584"/>
        <w:gridCol w:w="1584"/>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Gap Under Current State</w:t>
            </w:r>
          </w:p>
        </w:tc>
        <w:tc>
          <w:tcPr/>
          <w:p>
            <w:pPr>
              <w:pStyle w:val="Compact"/>
            </w:pPr>
            <w:r>
              <w:t xml:space="preserve">Closed By</w:t>
            </w:r>
          </w:p>
        </w:tc>
        <w:tc>
          <w:tcPr/>
          <w:p>
            <w:pPr>
              <w:pStyle w:val="Compact"/>
            </w:pPr>
            <w:r>
              <w:t xml:space="preserve">Evidence</w:t>
            </w:r>
          </w:p>
        </w:tc>
      </w:tr>
      <w:tr>
        <w:tc>
          <w:tcPr/>
          <w:p>
            <w:pPr>
              <w:pStyle w:val="Compact"/>
            </w:pPr>
            <w:r>
              <w:rPr>
                <w:b/>
                <w:bCs/>
              </w:rPr>
              <w:t xml:space="preserve">SR-1</w:t>
            </w:r>
          </w:p>
        </w:tc>
        <w:tc>
          <w:tcPr/>
          <w:p>
            <w:pPr>
              <w:pStyle w:val="Compact"/>
            </w:pPr>
            <w:r>
              <w:t xml:space="preserve">Policy and Procedures</w:t>
            </w:r>
          </w:p>
        </w:tc>
        <w:tc>
          <w:tcPr/>
          <w:p>
            <w:pPr>
              <w:pStyle w:val="Compact"/>
            </w:pPr>
            <w:r>
              <w:t xml:space="preserve">No documented SCRM policy; procurement decisions lack security evaluation criteria</w:t>
            </w:r>
          </w:p>
        </w:tc>
        <w:tc>
          <w:tcPr/>
          <w:p>
            <w:pPr>
              <w:pStyle w:val="Compact"/>
            </w:pPr>
            <w:r>
              <w:t xml:space="preserve">SCRM Policy document + SBOM pipeline governance charter</w:t>
            </w:r>
          </w:p>
        </w:tc>
        <w:tc>
          <w:tcPr/>
          <w:p>
            <w:pPr>
              <w:pStyle w:val="Compact"/>
            </w:pPr>
            <w:r>
              <w:t xml:space="preserve">Pipeline run log; policy document in SSP</w:t>
            </w:r>
          </w:p>
        </w:tc>
      </w:tr>
      <w:tr>
        <w:tc>
          <w:tcPr/>
          <w:p>
            <w:pPr>
              <w:pStyle w:val="Compact"/>
            </w:pPr>
            <w:r>
              <w:rPr>
                <w:b/>
                <w:bCs/>
              </w:rPr>
              <w:t xml:space="preserve">SR-2</w:t>
            </w:r>
          </w:p>
        </w:tc>
        <w:tc>
          <w:tcPr/>
          <w:p>
            <w:pPr>
              <w:pStyle w:val="Compact"/>
            </w:pPr>
            <w:r>
              <w:t xml:space="preserve">Supply Chain Risk Management Plan</w:t>
            </w:r>
          </w:p>
        </w:tc>
        <w:tc>
          <w:tcPr/>
          <w:p>
            <w:pPr>
              <w:pStyle w:val="Compact"/>
            </w:pPr>
            <w:r>
              <w:t xml:space="preserve">No SCRM plan; supplier risk not assessed systematically</w:t>
            </w:r>
          </w:p>
        </w:tc>
        <w:tc>
          <w:tcPr/>
          <w:p>
            <w:pPr>
              <w:pStyle w:val="Compact"/>
            </w:pPr>
            <w:r>
              <w:t xml:space="preserve">SBOM pipeline + vendor disclosure matrix + KEV integration</w:t>
            </w:r>
          </w:p>
        </w:tc>
        <w:tc>
          <w:tcPr/>
          <w:p>
            <w:pPr>
              <w:pStyle w:val="Compact"/>
            </w:pPr>
            <w:r>
              <w:t xml:space="preserve">SBOM manifest; vendor matrix; KEV triage log</w:t>
            </w:r>
          </w:p>
        </w:tc>
      </w:tr>
      <w:tr>
        <w:tc>
          <w:tcPr/>
          <w:p>
            <w:pPr>
              <w:pStyle w:val="Compact"/>
            </w:pPr>
            <w:r>
              <w:rPr>
                <w:b/>
                <w:bCs/>
              </w:rPr>
              <w:t xml:space="preserve">SR-3</w:t>
            </w:r>
          </w:p>
        </w:tc>
        <w:tc>
          <w:tcPr/>
          <w:p>
            <w:pPr>
              <w:pStyle w:val="Compact"/>
            </w:pPr>
            <w:r>
              <w:t xml:space="preserve">Supply Chain Controls and Processes</w:t>
            </w:r>
          </w:p>
        </w:tc>
        <w:tc>
          <w:tcPr/>
          <w:p>
            <w:pPr>
              <w:pStyle w:val="Compact"/>
            </w:pPr>
            <w:r>
              <w:t xml:space="preserve">Software acquisition lacks SBOM requirements; no contractual SBOM delivery clause</w:t>
            </w:r>
          </w:p>
        </w:tc>
        <w:tc>
          <w:tcPr/>
          <w:p>
            <w:pPr>
              <w:pStyle w:val="Compact"/>
            </w:pPr>
            <w:r>
              <w:t xml:space="preserve">Acquisition policy update requiring CycloneDX SBOM delivery from suppliers; SBOM ingest pipeline</w:t>
            </w:r>
          </w:p>
        </w:tc>
        <w:tc>
          <w:tcPr/>
          <w:p>
            <w:pPr>
              <w:pStyle w:val="Compact"/>
            </w:pPr>
            <w:r>
              <w:t xml:space="preserve">Acquisition policy; SBOM pipeline job log</w:t>
            </w:r>
          </w:p>
        </w:tc>
      </w:tr>
      <w:tr>
        <w:tc>
          <w:tcPr/>
          <w:p>
            <w:pPr>
              <w:pStyle w:val="Compact"/>
            </w:pPr>
            <w:r>
              <w:rPr>
                <w:b/>
                <w:bCs/>
              </w:rPr>
              <w:t xml:space="preserve">SR-5</w:t>
            </w:r>
          </w:p>
        </w:tc>
        <w:tc>
          <w:tcPr/>
          <w:p>
            <w:pPr>
              <w:pStyle w:val="Compact"/>
            </w:pPr>
            <w:r>
              <w:t xml:space="preserve">Acquisition Strategies, Tools, and Methods</w:t>
            </w:r>
          </w:p>
        </w:tc>
        <w:tc>
          <w:tcPr/>
          <w:p>
            <w:pPr>
              <w:pStyle w:val="Compact"/>
            </w:pPr>
            <w:r>
              <w:t xml:space="preserve">No software composition analysis in procurement evaluation</w:t>
            </w:r>
          </w:p>
        </w:tc>
        <w:tc>
          <w:tcPr/>
          <w:p>
            <w:pPr>
              <w:pStyle w:val="Compact"/>
            </w:pPr>
            <w:r>
              <w:t xml:space="preserve">SCA tooling (Syft + Grype) integrated into CI/CD before production promotion</w:t>
            </w:r>
          </w:p>
        </w:tc>
        <w:tc>
          <w:tcPr/>
          <w:p>
            <w:pPr>
              <w:pStyle w:val="Compact"/>
            </w:pPr>
            <w:r>
              <w:t xml:space="preserve">Pipeline artifact; pre-approval gate log</w:t>
            </w:r>
          </w:p>
        </w:tc>
      </w:tr>
      <w:tr>
        <w:tc>
          <w:tcPr/>
          <w:p>
            <w:pPr>
              <w:pStyle w:val="Compact"/>
            </w:pPr>
            <w:r>
              <w:rPr>
                <w:b/>
                <w:bCs/>
              </w:rPr>
              <w:t xml:space="preserve">SR-6</w:t>
            </w:r>
          </w:p>
        </w:tc>
        <w:tc>
          <w:tcPr/>
          <w:p>
            <w:pPr>
              <w:pStyle w:val="Compact"/>
            </w:pPr>
            <w:r>
              <w:t xml:space="preserve">Supplier Assessments and Reviews</w:t>
            </w:r>
          </w:p>
        </w:tc>
        <w:tc>
          <w:tcPr/>
          <w:p>
            <w:pPr>
              <w:pStyle w:val="Compact"/>
            </w:pPr>
            <w:r>
              <w:t xml:space="preserve">No structured supplier security review; FedRAMP authorization status not tracked per supplier</w:t>
            </w:r>
          </w:p>
        </w:tc>
        <w:tc>
          <w:tcPr/>
          <w:p>
            <w:pPr>
              <w:pStyle w:val="Compact"/>
            </w:pPr>
            <w:r>
              <w:t xml:space="preserve">Vendor disclosure matrix; annual supplier assessment schedule; MSRC/PSIRT feed subscriptions</w:t>
            </w:r>
          </w:p>
        </w:tc>
        <w:tc>
          <w:tcPr/>
          <w:p>
            <w:pPr>
              <w:pStyle w:val="Compact"/>
            </w:pPr>
            <w:r>
              <w:t xml:space="preserve">Vendor matrix; assessment calendar; feed subscription records</w:t>
            </w:r>
          </w:p>
        </w:tc>
      </w:tr>
      <w:tr>
        <w:tc>
          <w:tcPr/>
          <w:p>
            <w:pPr>
              <w:pStyle w:val="Compact"/>
            </w:pPr>
            <w:r>
              <w:rPr>
                <w:b/>
                <w:bCs/>
              </w:rPr>
              <w:t xml:space="preserve">SR-8</w:t>
            </w:r>
          </w:p>
        </w:tc>
        <w:tc>
          <w:tcPr/>
          <w:p>
            <w:pPr>
              <w:pStyle w:val="Compact"/>
            </w:pPr>
            <w:r>
              <w:t xml:space="preserve">Notification Agreements</w:t>
            </w:r>
          </w:p>
        </w:tc>
        <w:tc>
          <w:tcPr/>
          <w:p>
            <w:pPr>
              <w:pStyle w:val="Compact"/>
            </w:pPr>
            <w:r>
              <w:t xml:space="preserve">No documented process for receiving and responding to supplier vulnerability notifications</w:t>
            </w:r>
          </w:p>
        </w:tc>
        <w:tc>
          <w:tcPr/>
          <w:p>
            <w:pPr>
              <w:pStyle w:val="Compact"/>
            </w:pPr>
            <w:r>
              <w:t xml:space="preserve">MSRC Security Update Guide subscription; Cisco PSIRT subscription; Infoblox security portal registration</w:t>
            </w:r>
          </w:p>
        </w:tc>
        <w:tc>
          <w:tcPr/>
          <w:p>
            <w:pPr>
              <w:pStyle w:val="Compact"/>
            </w:pPr>
            <w:r>
              <w:t xml:space="preserve">Notification feed subscriptions; incident response playbook for supplier CVEs</w:t>
            </w:r>
          </w:p>
        </w:tc>
      </w:tr>
      <w:tr>
        <w:tc>
          <w:tcPr/>
          <w:p>
            <w:pPr>
              <w:pStyle w:val="Compact"/>
            </w:pPr>
            <w:r>
              <w:rPr>
                <w:b/>
                <w:bCs/>
              </w:rPr>
              <w:t xml:space="preserve">SR-10</w:t>
            </w:r>
          </w:p>
        </w:tc>
        <w:tc>
          <w:tcPr/>
          <w:p>
            <w:pPr>
              <w:pStyle w:val="Compact"/>
            </w:pPr>
            <w:r>
              <w:t xml:space="preserve">Inspection of Systems or Components</w:t>
            </w:r>
          </w:p>
        </w:tc>
        <w:tc>
          <w:tcPr/>
          <w:p>
            <w:pPr>
              <w:pStyle w:val="Compact"/>
            </w:pPr>
            <w:r>
              <w:t xml:space="preserve">No component integrity verification at build or deployment</w:t>
            </w:r>
          </w:p>
        </w:tc>
        <w:tc>
          <w:tcPr/>
          <w:p>
            <w:pPr>
              <w:pStyle w:val="Compact"/>
            </w:pPr>
            <w:r>
              <w:t xml:space="preserve">Syft SBOM hash verification at container pull; GPG-signed SBOM manifest; supply chain attestation in SLSA Level 2</w:t>
            </w:r>
          </w:p>
        </w:tc>
        <w:tc>
          <w:tcPr/>
          <w:p>
            <w:pPr>
              <w:pStyle w:val="Compact"/>
            </w:pPr>
            <w:r>
              <w:t xml:space="preserve">SLSA provenance records; container image hash verification log</w:t>
            </w:r>
          </w:p>
        </w:tc>
      </w:tr>
      <w:tr>
        <w:tc>
          <w:tcPr/>
          <w:p>
            <w:pPr>
              <w:pStyle w:val="Compact"/>
            </w:pPr>
            <w:r>
              <w:rPr>
                <w:b/>
                <w:bCs/>
              </w:rPr>
              <w:t xml:space="preserve">SR-11</w:t>
            </w:r>
          </w:p>
        </w:tc>
        <w:tc>
          <w:tcPr/>
          <w:p>
            <w:pPr>
              <w:pStyle w:val="Compact"/>
            </w:pPr>
            <w:r>
              <w:t xml:space="preserve">Component Authenticity</w:t>
            </w:r>
          </w:p>
        </w:tc>
        <w:tc>
          <w:tcPr/>
          <w:p>
            <w:pPr>
              <w:pStyle w:val="Compact"/>
            </w:pPr>
            <w:r>
              <w:t xml:space="preserve">No cryptographic verification of component authenticity; no process for detecting counterfeit components</w:t>
            </w:r>
          </w:p>
        </w:tc>
        <w:tc>
          <w:tcPr/>
          <w:p>
            <w:pPr>
              <w:pStyle w:val="Compact"/>
            </w:pPr>
            <w:r>
              <w:t xml:space="preserve">GPG-signed SBOMs; SLSA provenance attestation; sigstore (Cosign) for container image signing</w:t>
            </w:r>
          </w:p>
        </w:tc>
        <w:tc>
          <w:tcPr/>
          <w:p>
            <w:pPr>
              <w:pStyle w:val="Compact"/>
            </w:pPr>
            <w:r>
              <w:t xml:space="preserve">Cosign signature verification log; SLSA provenance; SBOM manifest with component hashes</w:t>
            </w:r>
          </w:p>
        </w:tc>
      </w:tr>
    </w:tbl>
    <w:p>
      <w:pPr>
        <w:pStyle w:val="BodyText"/>
      </w:pPr>
      <w:r>
        <w:rPr>
          <w:b/>
          <w:bCs/>
        </w:rPr>
        <w:t xml:space="preserve">Controls closed: 8</w:t>
      </w:r>
      <w:r>
        <w:t xml:space="preserve"> </w:t>
      </w:r>
      <w:r>
        <w:t xml:space="preserve">(SR-1, SR-2, SR-3, SR-5, SR-6, SR-8, SR-10, SR-11) — pending registration in the compliance spine.</w:t>
      </w:r>
    </w:p>
    <w:p>
      <w:pPr>
        <w:pStyle w:val="BlockText"/>
      </w:pPr>
      <w:r>
        <w:rPr>
          <w:b/>
          <w:bCs/>
        </w:rPr>
        <w:t xml:space="preserve">Closure Necessity — SR family.</w:t>
      </w:r>
      <w:r>
        <w:t xml:space="preserve"> </w:t>
      </w:r>
      <w:r>
        <w:t xml:space="preserve">These eight controls close through</w:t>
      </w:r>
      <w:r>
        <w:t xml:space="preserve"> </w:t>
      </w:r>
      <w:r>
        <w:t xml:space="preserve">governance artifacts — the SBOM manifest, the VDR, signed VEX assertions, and</w:t>
      </w:r>
      <w:r>
        <w:t xml:space="preserve"> </w:t>
      </w:r>
      <w:r>
        <w:t xml:space="preserve">the acquisition language that compels them from suppliers — not through the</w:t>
      </w:r>
      <w:r>
        <w:t xml:space="preserve"> </w:t>
      </w:r>
      <w:r>
        <w:t xml:space="preserve">network substrate. No IPAM record, SD-WAN overlay, or TIC 3.0 enforcement</w:t>
      </w:r>
      <w:r>
        <w:t xml:space="preserve"> </w:t>
      </w:r>
      <w:r>
        <w:t xml:space="preserve">point produces a software bill of materials or a supplier attestation. This</w:t>
      </w:r>
      <w:r>
        <w:t xml:space="preserve"> </w:t>
      </w:r>
      <w:r>
        <w:t xml:space="preserve">series claims a technology as required only where control text, physics, or</w:t>
      </w:r>
      <w:r>
        <w:t xml:space="preserve"> </w:t>
      </w:r>
      <w:r>
        <w:t xml:space="preserve">protocol behavior makes it the sole closure path; stating plainly that supply</w:t>
      </w:r>
      <w:r>
        <w:t xml:space="preserve"> </w:t>
      </w:r>
      <w:r>
        <w:t xml:space="preserve">chain risk management is not such a case is what keeps those necessity claims</w:t>
      </w:r>
      <w:r>
        <w:t xml:space="preserve"> </w:t>
      </w:r>
      <w:r>
        <w:t xml:space="preserve">credible elsewhere.</w:t>
      </w:r>
    </w:p>
    <w:bookmarkEnd w:id="25"/>
    <w:bookmarkStart w:id="26" w:name="ksi-cmt-evidence-contract-ksi-011014"/>
    <w:p>
      <w:pPr>
        <w:pStyle w:val="Heading2"/>
      </w:pPr>
      <w:r>
        <w:t xml:space="preserve">6.2 KSI-CMT Evidence Contract (KSI-011–014)</w:t>
      </w:r>
    </w:p>
    <w:p>
      <w:pPr>
        <w:pStyle w:val="FirstParagraph"/>
      </w:pPr>
      <w:r>
        <w:t xml:space="preserve">The SBOM/VDR/VEX pipeline provides the VER (Vulnerability Evaluation &amp;</w:t>
      </w:r>
      <w:r>
        <w:t xml:space="preserve"> </w:t>
      </w:r>
      <w:r>
        <w:t xml:space="preserve">Reporting) evidence contract required to upgrade KSI-CMT rules from scaffold</w:t>
      </w:r>
      <w:r>
        <w:t xml:space="preserve"> </w:t>
      </w:r>
      <w:r>
        <w:t xml:space="preserve">to evaluable. The pipeline produces machine-readable artifacts that satisfy</w:t>
      </w:r>
      <w:r>
        <w:t xml:space="preserve"> </w:t>
      </w:r>
      <w:r>
        <w:t xml:space="preserve">the KSI-CMT sub-control requirements:</w:t>
      </w:r>
    </w:p>
    <w:p>
      <w:pPr>
        <w:pStyle w:val="TableCaption"/>
      </w:pPr>
      <w:r>
        <w:t xml:space="preserve">KSI-CMT Evidence Contract — Vol IV Book 02 Provides VER Evidence for KSI-011–014</w:t>
      </w:r>
    </w:p>
    <w:tbl>
      <w:tblPr>
        <w:tblStyle w:val="Table"/>
        <w:tblW w:type="pct" w:w="5000"/>
        <w:tblLayout w:type="fixed"/>
        <w:tblLook w:firstRow="1" w:lastRow="0" w:firstColumn="0" w:lastColumn="0" w:noHBand="0" w:noVBand="0" w:val="0020"/>
        <w:tblCaption w:val="KSI-CMT Evidence Contract — Vol IV Book 02 Provides VER Evidence for KSI-011–014"/>
      </w:tblPr>
      <w:tblGrid>
        <w:gridCol w:w="1980"/>
        <w:gridCol w:w="1980"/>
        <w:gridCol w:w="1980"/>
        <w:gridCol w:w="1980"/>
      </w:tblGrid>
      <w:tr>
        <w:trPr>
          <w:tblHeader w:val="on"/>
        </w:trPr>
        <w:tc>
          <w:tcPr/>
          <w:p>
            <w:pPr>
              <w:pStyle w:val="Compact"/>
            </w:pPr>
            <w:r>
              <w:t xml:space="preserve">KSI Rule</w:t>
            </w:r>
          </w:p>
        </w:tc>
        <w:tc>
          <w:tcPr/>
          <w:p>
            <w:pPr>
              <w:pStyle w:val="Compact"/>
            </w:pPr>
            <w:r>
              <w:t xml:space="preserve">KSI Title</w:t>
            </w:r>
          </w:p>
        </w:tc>
        <w:tc>
          <w:tcPr/>
          <w:p>
            <w:pPr>
              <w:pStyle w:val="Compact"/>
            </w:pPr>
            <w:r>
              <w:t xml:space="preserve">NIST Controls</w:t>
            </w:r>
          </w:p>
        </w:tc>
        <w:tc>
          <w:tcPr/>
          <w:p>
            <w:pPr>
              <w:pStyle w:val="Compact"/>
            </w:pPr>
            <w:r>
              <w:t xml:space="preserve">Evidence from Vol IV Book 02 Pipeline</w:t>
            </w:r>
          </w:p>
        </w:tc>
      </w:tr>
      <w:tr>
        <w:tc>
          <w:tcPr/>
          <w:p>
            <w:pPr>
              <w:pStyle w:val="Compact"/>
            </w:pPr>
            <w:r>
              <w:rPr>
                <w:b/>
                <w:bCs/>
              </w:rPr>
              <w:t xml:space="preserve">KSI-011</w:t>
            </w:r>
          </w:p>
        </w:tc>
        <w:tc>
          <w:tcPr/>
          <w:p>
            <w:pPr>
              <w:pStyle w:val="Compact"/>
            </w:pPr>
            <w:r>
              <w:t xml:space="preserve">Change Logging and Monitoring</w:t>
            </w:r>
          </w:p>
        </w:tc>
        <w:tc>
          <w:tcPr/>
          <w:p>
            <w:pPr>
              <w:pStyle w:val="Compact"/>
            </w:pPr>
            <w:r>
              <w:t xml:space="preserve">CM-3, AU-6</w:t>
            </w:r>
          </w:p>
        </w:tc>
        <w:tc>
          <w:tcPr/>
          <w:p>
            <w:pPr>
              <w:pStyle w:val="Compact"/>
            </w:pPr>
            <w:r>
              <w:t xml:space="preserve">SBOM diff between releases: every dependency change is logged as a structured artifact with author, timestamp, and before/after hash. Ingested by Sentinel (Vol III Book 06) as a structured change event.</w:t>
            </w:r>
          </w:p>
        </w:tc>
      </w:tr>
      <w:tr>
        <w:tc>
          <w:tcPr/>
          <w:p>
            <w:pPr>
              <w:pStyle w:val="Compact"/>
            </w:pPr>
            <w:r>
              <w:rPr>
                <w:b/>
                <w:bCs/>
              </w:rPr>
              <w:t xml:space="preserve">KSI-012</w:t>
            </w:r>
          </w:p>
        </w:tc>
        <w:tc>
          <w:tcPr/>
          <w:p>
            <w:pPr>
              <w:pStyle w:val="Compact"/>
            </w:pPr>
            <w:r>
              <w:t xml:space="preserve">Immutable Redeployment over Direct Modification</w:t>
            </w:r>
          </w:p>
        </w:tc>
        <w:tc>
          <w:tcPr/>
          <w:p>
            <w:pPr>
              <w:pStyle w:val="Compact"/>
            </w:pPr>
            <w:r>
              <w:t xml:space="preserve">CM-2, SA-10</w:t>
            </w:r>
          </w:p>
        </w:tc>
        <w:tc>
          <w:tcPr/>
          <w:p>
            <w:pPr>
              <w:pStyle w:val="Compact"/>
            </w:pPr>
            <w:r>
              <w:t xml:space="preserve">SLSA provenance attestation: every production artifact is built from a versioned source, not modified in-place. The SBOM manifest + SLSA Level 2 record proves the deployed artifact matches the build artifact.</w:t>
            </w:r>
          </w:p>
        </w:tc>
      </w:tr>
      <w:tr>
        <w:tc>
          <w:tcPr/>
          <w:p>
            <w:pPr>
              <w:pStyle w:val="Compact"/>
            </w:pPr>
            <w:r>
              <w:rPr>
                <w:b/>
                <w:bCs/>
              </w:rPr>
              <w:t xml:space="preserve">KSI-013</w:t>
            </w:r>
          </w:p>
        </w:tc>
        <w:tc>
          <w:tcPr/>
          <w:p>
            <w:pPr>
              <w:pStyle w:val="Compact"/>
            </w:pPr>
            <w:r>
              <w:t xml:space="preserve">Change-Procedure Effectiveness Review</w:t>
            </w:r>
          </w:p>
        </w:tc>
        <w:tc>
          <w:tcPr/>
          <w:p>
            <w:pPr>
              <w:pStyle w:val="Compact"/>
            </w:pPr>
            <w:r>
              <w:t xml:space="preserve">CM-3, CA-7</w:t>
            </w:r>
          </w:p>
        </w:tc>
        <w:tc>
          <w:tcPr/>
          <w:p>
            <w:pPr>
              <w:pStyle w:val="Compact"/>
            </w:pPr>
            <w:r>
              <w:t xml:space="preserve">VEX quarterly review cycle: VEX assertions must be reviewed every 90 days or upon new CVE disclosure. Review completion is a dated, signed record — the change-procedure effectiveness evidence.</w:t>
            </w:r>
          </w:p>
        </w:tc>
      </w:tr>
      <w:tr>
        <w:tc>
          <w:tcPr/>
          <w:p>
            <w:pPr>
              <w:pStyle w:val="Compact"/>
            </w:pPr>
            <w:r>
              <w:rPr>
                <w:b/>
                <w:bCs/>
              </w:rPr>
              <w:t xml:space="preserve">KSI-014</w:t>
            </w:r>
          </w:p>
        </w:tc>
        <w:tc>
          <w:tcPr/>
          <w:p>
            <w:pPr>
              <w:pStyle w:val="Compact"/>
            </w:pPr>
            <w:r>
              <w:t xml:space="preserve">Automated Validation Throughout Deployment</w:t>
            </w:r>
          </w:p>
        </w:tc>
        <w:tc>
          <w:tcPr/>
          <w:p>
            <w:pPr>
              <w:pStyle w:val="Compact"/>
            </w:pPr>
            <w:r>
              <w:t xml:space="preserve">CM-3(2), SA-11</w:t>
            </w:r>
          </w:p>
        </w:tc>
        <w:tc>
          <w:tcPr/>
          <w:p>
            <w:pPr>
              <w:pStyle w:val="Compact"/>
            </w:pPr>
            <w:r>
              <w:t xml:space="preserve">Grype scan runs on every PR and blocks merge if a new critical CVE appears in the SBOM. Scan result = machine-readable validation artifact per deployment.</w:t>
            </w:r>
          </w:p>
        </w:tc>
      </w:tr>
    </w:tbl>
    <w:p>
      <w:r>
        <w:pict>
          <v:rect style="width:0;height:1.5pt" o:hralign="center" o:hrstd="t" o:hr="t"/>
        </w:pict>
      </w:r>
    </w:p>
    <w:bookmarkEnd w:id="26"/>
    <w:bookmarkEnd w:id="27"/>
    <w:bookmarkStart w:id="28" w:name="X4fb379a067686b0992d2d320e68f5b27e9c8070"/>
    <w:p>
      <w:pPr>
        <w:pStyle w:val="Heading1"/>
      </w:pPr>
      <w:r>
        <w:t xml:space="preserve">7. SLSA Supply Chain Levels for Software Artifacts</w:t>
      </w:r>
    </w:p>
    <w:p>
      <w:pPr>
        <w:pStyle w:val="FirstParagraph"/>
      </w:pPr>
      <w:r>
        <w:t xml:space="preserve">SLSA (Supply Chain Levels for Software Artifacts) is the NIST-endorsed framework</w:t>
      </w:r>
      <w:r>
        <w:t xml:space="preserve"> </w:t>
      </w:r>
      <w:r>
        <w:t xml:space="preserve">for measuring build integrity. The pipeline targets</w:t>
      </w:r>
      <w:r>
        <w:t xml:space="preserve"> </w:t>
      </w:r>
      <w:r>
        <w:rPr>
          <w:b/>
          <w:bCs/>
        </w:rPr>
        <w:t xml:space="preserve">SLSA Level 2</w:t>
      </w:r>
      <w:r>
        <w:t xml:space="preserve"> </w:t>
      </w:r>
      <w:r>
        <w:t xml:space="preserve">for initial</w:t>
      </w:r>
      <w:r>
        <w:t xml:space="preserve"> </w:t>
      </w:r>
      <w:r>
        <w:t xml:space="preserve">compliance, progressing to Level 3 before the authorization deadline.</w:t>
      </w:r>
    </w:p>
    <w:p>
      <w:pPr>
        <w:pStyle w:val="TableCaption"/>
      </w:pPr>
      <w:r>
        <w:t xml:space="preserve">SLSA Levels and Agency Implementation Path</w:t>
      </w:r>
    </w:p>
    <w:tbl>
      <w:tblPr>
        <w:tblStyle w:val="Table"/>
        <w:tblW w:type="pct" w:w="5000"/>
        <w:tblLayout w:type="fixed"/>
        <w:tblLook w:firstRow="1" w:lastRow="0" w:firstColumn="0" w:lastColumn="0" w:noHBand="0" w:noVBand="0" w:val="0020"/>
        <w:tblCaption w:val="SLSA Levels and Agency Implementation Path"/>
      </w:tblPr>
      <w:tblGrid>
        <w:gridCol w:w="2640"/>
        <w:gridCol w:w="2640"/>
        <w:gridCol w:w="2640"/>
      </w:tblGrid>
      <w:tr>
        <w:trPr>
          <w:tblHeader w:val="on"/>
        </w:trPr>
        <w:tc>
          <w:tcPr/>
          <w:p>
            <w:pPr>
              <w:pStyle w:val="Compact"/>
            </w:pPr>
            <w:r>
              <w:t xml:space="preserve">SLSA Level</w:t>
            </w:r>
          </w:p>
        </w:tc>
        <w:tc>
          <w:tcPr/>
          <w:p>
            <w:pPr>
              <w:pStyle w:val="Compact"/>
            </w:pPr>
            <w:r>
              <w:t xml:space="preserve">Requirements</w:t>
            </w:r>
          </w:p>
        </w:tc>
        <w:tc>
          <w:tcPr/>
          <w:p>
            <w:pPr>
              <w:pStyle w:val="Compact"/>
            </w:pPr>
            <w:r>
              <w:t xml:space="preserve">Agency Implementation</w:t>
            </w:r>
          </w:p>
        </w:tc>
      </w:tr>
      <w:tr>
        <w:tc>
          <w:tcPr/>
          <w:p>
            <w:pPr>
              <w:pStyle w:val="Compact"/>
            </w:pPr>
            <w:r>
              <w:rPr>
                <w:b/>
                <w:bCs/>
              </w:rPr>
              <w:t xml:space="preserve">Level 1</w:t>
            </w:r>
          </w:p>
        </w:tc>
        <w:tc>
          <w:tcPr/>
          <w:p>
            <w:pPr>
              <w:pStyle w:val="Compact"/>
            </w:pPr>
            <w:r>
              <w:t xml:space="preserve">Provenance document exists</w:t>
            </w:r>
          </w:p>
        </w:tc>
        <w:tc>
          <w:tcPr/>
          <w:p>
            <w:pPr>
              <w:pStyle w:val="Compact"/>
            </w:pPr>
            <w:r>
              <w:t xml:space="preserve">GitHub Actions SBOM workflow produces attestation automatically</w:t>
            </w:r>
          </w:p>
        </w:tc>
      </w:tr>
      <w:tr>
        <w:tc>
          <w:tcPr/>
          <w:p>
            <w:pPr>
              <w:pStyle w:val="Compact"/>
            </w:pPr>
            <w:r>
              <w:rPr>
                <w:b/>
                <w:bCs/>
              </w:rPr>
              <w:t xml:space="preserve">Level 2</w:t>
            </w:r>
          </w:p>
        </w:tc>
        <w:tc>
          <w:tcPr/>
          <w:p>
            <w:pPr>
              <w:pStyle w:val="Compact"/>
            </w:pPr>
            <w:r>
              <w:t xml:space="preserve">Hosted build, signed provenance</w:t>
            </w:r>
          </w:p>
        </w:tc>
        <w:tc>
          <w:tcPr/>
          <w:p>
            <w:pPr>
              <w:pStyle w:val="Compact"/>
            </w:pPr>
            <w:r>
              <w:t xml:space="preserve">GitHub Actions runs on GitHub-hosted runners; provenance signed by OIDC token</w:t>
            </w:r>
          </w:p>
        </w:tc>
      </w:tr>
      <w:tr>
        <w:tc>
          <w:tcPr/>
          <w:p>
            <w:pPr>
              <w:pStyle w:val="Compact"/>
            </w:pPr>
            <w:r>
              <w:rPr>
                <w:b/>
                <w:bCs/>
              </w:rPr>
              <w:t xml:space="preserve">Level 3</w:t>
            </w:r>
          </w:p>
        </w:tc>
        <w:tc>
          <w:tcPr/>
          <w:p>
            <w:pPr>
              <w:pStyle w:val="Compact"/>
            </w:pPr>
            <w:r>
              <w:t xml:space="preserve">Hardened build, two-party review</w:t>
            </w:r>
          </w:p>
        </w:tc>
        <w:tc>
          <w:tcPr/>
          <w:p>
            <w:pPr>
              <w:pStyle w:val="Compact"/>
            </w:pPr>
            <w:r>
              <w:t xml:space="preserve">Level 3 target — requires branch protection + required reviewers for release workflow</w:t>
            </w:r>
          </w:p>
        </w:tc>
      </w:tr>
    </w:tbl>
    <w:p>
      <w:pPr>
        <w:pStyle w:val="BodyText"/>
      </w:pPr>
      <w:r>
        <w:t xml:space="preserve">} production posture. Column 3, Level 3: hardened build with two-party review — branch protection plus required reviewers on the release workflow, tagged</w:t>
      </w:r>
      <w:r>
        <w:t xml:space="preserve"> </w:t>
      </w:r>
      <w:r>
        <w:t xml:space="preserve">‘Deadline goal’</w:t>
      </w:r>
      <w:r>
        <w:t xml:space="preserve"> </w:t>
      </w:r>
      <w:r>
        <w:t xml:space="preserve">before the authorization deadline. A summary banner notes SLSA is the NIST-endorsed framework for measuring build integrity — the provenance thread that proves the component scanned is the component deployed. White background. Source: Vol IV Book 02 Supply Chain Risk Management briefing deck, Date Code 2026-07-09 17:00 ET.” width=</w:t>
      </w:r>
      <w:r>
        <w:t xml:space="preserve">“100%”</w:t>
      </w:r>
      <w:r>
        <w:t xml:space="preserve">}</w:t>
      </w:r>
    </w:p>
    <w:p>
      <w:r>
        <w:pict>
          <v:rect style="width:0;height:1.5pt" o:hralign="center" o:hrstd="t" o:hr="t"/>
        </w:pict>
      </w:r>
    </w:p>
    <w:bookmarkEnd w:id="28"/>
    <w:bookmarkStart w:id="31" w:name="continuous-monitoring-integration"/>
    <w:p>
      <w:pPr>
        <w:pStyle w:val="Heading1"/>
      </w:pPr>
      <w:r>
        <w:t xml:space="preserve">8. Continuous Monitoring Integration</w:t>
      </w:r>
    </w:p>
    <w:bookmarkStart w:id="29" w:name="sentinel-dashboard-ksi-mla-integration"/>
    <w:p>
      <w:pPr>
        <w:pStyle w:val="Heading2"/>
      </w:pPr>
      <w:r>
        <w:t xml:space="preserve">8.1 Sentinel Dashboard (KSI-MLA Integration)</w:t>
      </w:r>
    </w:p>
    <w:p>
      <w:pPr>
        <w:pStyle w:val="FirstParagraph"/>
      </w:pPr>
      <w:r>
        <w:t xml:space="preserve">The SBOM/VDR/VEX pipeline integrates with Microsoft Sentinel (Vol III Book 06) via a</w:t>
      </w:r>
      <w:r>
        <w:t xml:space="preserve"> </w:t>
      </w:r>
      <w:r>
        <w:t xml:space="preserve">custom data connector that ingests:</w:t>
      </w:r>
    </w:p>
    <w:p>
      <w:pPr>
        <w:pStyle w:val="Compact"/>
        <w:numPr>
          <w:ilvl w:val="0"/>
          <w:numId w:val="1004"/>
        </w:numPr>
      </w:pPr>
      <w:r>
        <w:t xml:space="preserve">Daily SBOM diff (new/removed/updated components)</w:t>
      </w:r>
    </w:p>
    <w:p>
      <w:pPr>
        <w:pStyle w:val="Compact"/>
        <w:numPr>
          <w:ilvl w:val="0"/>
          <w:numId w:val="1004"/>
        </w:numPr>
      </w:pPr>
      <w:r>
        <w:t xml:space="preserve">VDR CVE count by severity (critical/high/medium/low)</w:t>
      </w:r>
    </w:p>
    <w:p>
      <w:pPr>
        <w:pStyle w:val="Compact"/>
        <w:numPr>
          <w:ilvl w:val="0"/>
          <w:numId w:val="1004"/>
        </w:numPr>
      </w:pPr>
      <w:r>
        <w:t xml:space="preserve">VEX assertion status distribution (not_affected / affected / fixed / under_investigation)</w:t>
      </w:r>
    </w:p>
    <w:p>
      <w:pPr>
        <w:pStyle w:val="Compact"/>
        <w:numPr>
          <w:ilvl w:val="0"/>
          <w:numId w:val="1004"/>
        </w:numPr>
      </w:pPr>
      <w:r>
        <w:t xml:space="preserve">KEV hit count (number of SBOM components with active KEV entries)</w:t>
      </w:r>
    </w:p>
    <w:p>
      <w:pPr>
        <w:pStyle w:val="Compact"/>
        <w:numPr>
          <w:ilvl w:val="0"/>
          <w:numId w:val="1004"/>
        </w:numPr>
      </w:pPr>
      <w:r>
        <w:t xml:space="preserve">Days-since-last-VEX-review per product</w:t>
      </w:r>
    </w:p>
    <w:p>
      <w:pPr>
        <w:pStyle w:val="FirstParagraph"/>
      </w:pPr>
      <w:r>
        <w:t xml:space="preserve">KQL analytic rule for KEV breach:</w:t>
      </w:r>
    </w:p>
    <w:p>
      <w:pPr>
        <w:pStyle w:val="SourceCode"/>
      </w:pPr>
      <w:r>
        <w:rPr>
          <w:rStyle w:val="VerbatimChar"/>
        </w:rPr>
        <w:t xml:space="preserve">SBOMVulnerabilities_CL</w:t>
      </w:r>
      <w:r>
        <w:br/>
      </w:r>
      <w:r>
        <w:rPr>
          <w:rStyle w:val="VerbatimChar"/>
        </w:rPr>
        <w:t xml:space="preserve">| where TimeGenerated &gt; ago(1d)</w:t>
      </w:r>
      <w:r>
        <w:br/>
      </w:r>
      <w:r>
        <w:rPr>
          <w:rStyle w:val="VerbatimChar"/>
        </w:rPr>
        <w:t xml:space="preserve">| where kev_listed_b == true</w:t>
      </w:r>
      <w:r>
        <w:br/>
      </w:r>
      <w:r>
        <w:rPr>
          <w:rStyle w:val="VerbatimChar"/>
        </w:rPr>
        <w:t xml:space="preserve">| where vex_status_s in ("affected", "under_investigation")</w:t>
      </w:r>
      <w:r>
        <w:br/>
      </w:r>
      <w:r>
        <w:rPr>
          <w:rStyle w:val="VerbatimChar"/>
        </w:rPr>
        <w:t xml:space="preserve">| where now &gt; kev_due_date_t</w:t>
      </w:r>
      <w:r>
        <w:br/>
      </w:r>
      <w:r>
        <w:rPr>
          <w:rStyle w:val="VerbatimChar"/>
        </w:rPr>
        <w:t xml:space="preserve">| project CVE = cve_id_s, Component = component_name_s,</w:t>
      </w:r>
      <w:r>
        <w:br/>
      </w:r>
      <w:r>
        <w:rPr>
          <w:rStyle w:val="VerbatimChar"/>
        </w:rPr>
        <w:t xml:space="preserve">          CVSS = cvss_score_d, KEVDate = kev_date_added_t, DueDate = kev_due_date_t,</w:t>
      </w:r>
      <w:r>
        <w:br/>
      </w:r>
      <w:r>
        <w:rPr>
          <w:rStyle w:val="VerbatimChar"/>
        </w:rPr>
        <w:t xml:space="preserve">          DaysOverdue = datetime_diff('day', now, kev_due_date_t)</w:t>
      </w:r>
      <w:r>
        <w:br/>
      </w:r>
      <w:r>
        <w:rPr>
          <w:rStyle w:val="VerbatimChar"/>
        </w:rPr>
        <w:t xml:space="preserve">| order by DaysOverdue desc</w:t>
      </w:r>
    </w:p>
    <w:bookmarkEnd w:id="29"/>
    <w:bookmarkStart w:id="30" w:name="evidence-manifest"/>
    <w:p>
      <w:pPr>
        <w:pStyle w:val="Heading2"/>
      </w:pPr>
      <w:r>
        <w:t xml:space="preserve">8.2 Evidence Manifest</w:t>
      </w:r>
    </w:p>
    <w:p>
      <w:pPr>
        <w:pStyle w:val="FirstParagraph"/>
      </w:pPr>
      <w:r>
        <w:t xml:space="preserve">Every SBOM generation run produces a signed manifest:</w:t>
      </w:r>
    </w:p>
    <w:p>
      <w:pPr>
        <w:pStyle w:val="SourceCode"/>
      </w:pPr>
      <w:r>
        <w:rPr>
          <w:rStyle w:val="FunctionTok"/>
        </w:rPr>
        <w:t xml:space="preserve">{</w:t>
      </w:r>
      <w:r>
        <w:br/>
      </w:r>
      <w:r>
        <w:rPr>
          <w:rStyle w:val="NormalTok"/>
        </w:rPr>
        <w:t xml:space="preserve">  </w:t>
      </w:r>
      <w:r>
        <w:rPr>
          <w:rStyle w:val="DataTypeTok"/>
        </w:rPr>
        <w:t xml:space="preserve">"manifest_version"</w:t>
      </w:r>
      <w:r>
        <w:rPr>
          <w:rStyle w:val="FunctionTok"/>
        </w:rPr>
        <w:t xml:space="preserve">:</w:t>
      </w:r>
      <w:r>
        <w:rPr>
          <w:rStyle w:val="NormalTok"/>
        </w:rPr>
        <w:t xml:space="preserve"> </w:t>
      </w:r>
      <w:r>
        <w:rPr>
          <w:rStyle w:val="StringTok"/>
        </w:rPr>
        <w:t xml:space="preserve">"1.0"</w:t>
      </w:r>
      <w:r>
        <w:rPr>
          <w:rStyle w:val="FunctionTok"/>
        </w:rPr>
        <w:t xml:space="preserve">,</w:t>
      </w:r>
      <w:r>
        <w:br/>
      </w:r>
      <w:r>
        <w:rPr>
          <w:rStyle w:val="NormalTok"/>
        </w:rPr>
        <w:t xml:space="preserve">  </w:t>
      </w:r>
      <w:r>
        <w:rPr>
          <w:rStyle w:val="DataTypeTok"/>
        </w:rPr>
        <w:t xml:space="preserve">"generated_at"</w:t>
      </w:r>
      <w:r>
        <w:rPr>
          <w:rStyle w:val="FunctionTok"/>
        </w:rPr>
        <w:t xml:space="preserve">:</w:t>
      </w:r>
      <w:r>
        <w:rPr>
          <w:rStyle w:val="NormalTok"/>
        </w:rPr>
        <w:t xml:space="preserve"> </w:t>
      </w:r>
      <w:r>
        <w:rPr>
          <w:rStyle w:val="StringTok"/>
        </w:rPr>
        <w:t xml:space="preserve">"2026-07-03T00:00:00Z"</w:t>
      </w:r>
      <w:r>
        <w:rPr>
          <w:rStyle w:val="FunctionTok"/>
        </w:rPr>
        <w:t xml:space="preserve">,</w:t>
      </w:r>
      <w:r>
        <w:br/>
      </w:r>
      <w:r>
        <w:rPr>
          <w:rStyle w:val="NormalTok"/>
        </w:rPr>
        <w:t xml:space="preserve">  </w:t>
      </w:r>
      <w:r>
        <w:rPr>
          <w:rStyle w:val="DataTypeTok"/>
        </w:rPr>
        <w:t xml:space="preserve">"commit_sha"</w:t>
      </w:r>
      <w:r>
        <w:rPr>
          <w:rStyle w:val="FunctionTok"/>
        </w:rPr>
        <w:t xml:space="preserve">:</w:t>
      </w:r>
      <w:r>
        <w:rPr>
          <w:rStyle w:val="NormalTok"/>
        </w:rPr>
        <w:t xml:space="preserve"> </w:t>
      </w:r>
      <w:r>
        <w:rPr>
          <w:rStyle w:val="StringTok"/>
        </w:rPr>
        <w:t xml:space="preserve">"abc123..."</w:t>
      </w:r>
      <w:r>
        <w:rPr>
          <w:rStyle w:val="FunctionTok"/>
        </w:rPr>
        <w:t xml:space="preserve">,</w:t>
      </w:r>
      <w:r>
        <w:br/>
      </w:r>
      <w:r>
        <w:rPr>
          <w:rStyle w:val="NormalTok"/>
        </w:rPr>
        <w:t xml:space="preserve">  </w:t>
      </w:r>
      <w:r>
        <w:rPr>
          <w:rStyle w:val="DataTypeTok"/>
        </w:rPr>
        <w:t xml:space="preserve">"sbom_hash_sha256"</w:t>
      </w:r>
      <w:r>
        <w:rPr>
          <w:rStyle w:val="FunctionTok"/>
        </w:rPr>
        <w:t xml:space="preserve">:</w:t>
      </w:r>
      <w:r>
        <w:rPr>
          <w:rStyle w:val="NormalTok"/>
        </w:rPr>
        <w:t xml:space="preserve"> </w:t>
      </w:r>
      <w:r>
        <w:rPr>
          <w:rStyle w:val="StringTok"/>
        </w:rPr>
        <w:t xml:space="preserve">"e3b0c44298fc1c149..."</w:t>
      </w:r>
      <w:r>
        <w:rPr>
          <w:rStyle w:val="FunctionTok"/>
        </w:rPr>
        <w:t xml:space="preserve">,</w:t>
      </w:r>
      <w:r>
        <w:br/>
      </w:r>
      <w:r>
        <w:rPr>
          <w:rStyle w:val="NormalTok"/>
        </w:rPr>
        <w:t xml:space="preserve">  </w:t>
      </w:r>
      <w:r>
        <w:rPr>
          <w:rStyle w:val="DataTypeTok"/>
        </w:rPr>
        <w:t xml:space="preserve">"vdr_hash_sha256"</w:t>
      </w:r>
      <w:r>
        <w:rPr>
          <w:rStyle w:val="FunctionTok"/>
        </w:rPr>
        <w:t xml:space="preserve">:</w:t>
      </w:r>
      <w:r>
        <w:rPr>
          <w:rStyle w:val="NormalTok"/>
        </w:rPr>
        <w:t xml:space="preserve"> </w:t>
      </w:r>
      <w:r>
        <w:rPr>
          <w:rStyle w:val="StringTok"/>
        </w:rPr>
        <w:t xml:space="preserve">"a87ff679a2f3e71d9..."</w:t>
      </w:r>
      <w:r>
        <w:rPr>
          <w:rStyle w:val="FunctionTok"/>
        </w:rPr>
        <w:t xml:space="preserve">,</w:t>
      </w:r>
      <w:r>
        <w:br/>
      </w:r>
      <w:r>
        <w:rPr>
          <w:rStyle w:val="NormalTok"/>
        </w:rPr>
        <w:t xml:space="preserve">  </w:t>
      </w:r>
      <w:r>
        <w:rPr>
          <w:rStyle w:val="DataTypeTok"/>
        </w:rPr>
        <w:t xml:space="preserve">"vex_hash_sha256"</w:t>
      </w:r>
      <w:r>
        <w:rPr>
          <w:rStyle w:val="FunctionTok"/>
        </w:rPr>
        <w:t xml:space="preserve">:</w:t>
      </w:r>
      <w:r>
        <w:rPr>
          <w:rStyle w:val="NormalTok"/>
        </w:rPr>
        <w:t xml:space="preserve"> </w:t>
      </w:r>
      <w:r>
        <w:rPr>
          <w:rStyle w:val="StringTok"/>
        </w:rPr>
        <w:t xml:space="preserve">"1679091c5a880faf6..."</w:t>
      </w:r>
      <w:r>
        <w:rPr>
          <w:rStyle w:val="FunctionTok"/>
        </w:rPr>
        <w:t xml:space="preserve">,</w:t>
      </w:r>
      <w:r>
        <w:br/>
      </w:r>
      <w:r>
        <w:rPr>
          <w:rStyle w:val="NormalTok"/>
        </w:rPr>
        <w:t xml:space="preserve">  </w:t>
      </w:r>
      <w:r>
        <w:rPr>
          <w:rStyle w:val="DataTypeTok"/>
        </w:rPr>
        <w:t xml:space="preserve">"component_count"</w:t>
      </w:r>
      <w:r>
        <w:rPr>
          <w:rStyle w:val="FunctionTok"/>
        </w:rPr>
        <w:t xml:space="preserve">:</w:t>
      </w:r>
      <w:r>
        <w:rPr>
          <w:rStyle w:val="NormalTok"/>
        </w:rPr>
        <w:t xml:space="preserve"> </w:t>
      </w:r>
      <w:r>
        <w:rPr>
          <w:rStyle w:val="DecValTok"/>
        </w:rPr>
        <w:t xml:space="preserve">312</w:t>
      </w:r>
      <w:r>
        <w:rPr>
          <w:rStyle w:val="FunctionTok"/>
        </w:rPr>
        <w:t xml:space="preserve">,</w:t>
      </w:r>
      <w:r>
        <w:br/>
      </w:r>
      <w:r>
        <w:rPr>
          <w:rStyle w:val="NormalTok"/>
        </w:rPr>
        <w:t xml:space="preserve">  </w:t>
      </w:r>
      <w:r>
        <w:rPr>
          <w:rStyle w:val="DataTypeTok"/>
        </w:rPr>
        <w:t xml:space="preserve">"cve_count_critical"</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"cve_count_high"</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"kev_hits"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"slsa_level"</w:t>
      </w:r>
      <w:r>
        <w:rPr>
          <w:rStyle w:val="FunctionTok"/>
        </w:rPr>
        <w:t xml:space="preserve">:</w:t>
      </w:r>
      <w:r>
        <w:rPr>
          <w:rStyle w:val="NormalTok"/>
        </w:rPr>
        <w:t xml:space="preserve"> </w:t>
      </w:r>
      <w:r>
        <w:rPr>
          <w:rStyle w:val="DecValTok"/>
        </w:rPr>
        <w:t xml:space="preserve">2</w:t>
      </w:r>
      <w:r>
        <w:rPr>
          <w:rStyle w:val="FunctionTok"/>
        </w:rPr>
        <w:t xml:space="preserve">,</w:t>
      </w:r>
      <w:r>
        <w:br/>
      </w:r>
      <w:r>
        <w:rPr>
          <w:rStyle w:val="NormalTok"/>
        </w:rPr>
        <w:t xml:space="preserve">  </w:t>
      </w:r>
      <w:r>
        <w:rPr>
          <w:rStyle w:val="DataTypeTok"/>
        </w:rPr>
        <w:t xml:space="preserve">"slsa_provenance_url"</w:t>
      </w:r>
      <w:r>
        <w:rPr>
          <w:rStyle w:val="FunctionTok"/>
        </w:rPr>
        <w:t xml:space="preserve">:</w:t>
      </w:r>
      <w:r>
        <w:rPr>
          <w:rStyle w:val="NormalTok"/>
        </w:rPr>
        <w:t xml:space="preserve"> </w:t>
      </w:r>
      <w:r>
        <w:rPr>
          <w:rStyle w:val="StringTok"/>
        </w:rPr>
        <w:t xml:space="preserve">"</w:t>
      </w:r>
      <w:r>
        <w:br/>
      </w:r>
      <w:r>
        <w:rPr>
          <w:rStyle w:val="StringTok"/>
        </w:rPr>
        <w:t xml:space="preserve">  "</w:t>
      </w:r>
      <w:r>
        <w:rPr>
          <w:rStyle w:val="ErrorTok"/>
        </w:rPr>
        <w:t xml:space="preserve">storage_uri</w:t>
      </w:r>
      <w:r>
        <w:rPr>
          <w:rStyle w:val="StringTok"/>
        </w:rPr>
        <w:t xml:space="preserve">": "</w:t>
      </w:r>
      <w:r>
        <w:rPr>
          <w:rStyle w:val="ErrorTok"/>
        </w:rPr>
        <w:t xml:space="preserve">https://sbomarchive.blob.core.windows.net/sbom-archive/</w:t>
      </w:r>
      <w:r>
        <w:rPr>
          <w:rStyle w:val="DecValTok"/>
        </w:rPr>
        <w:t xml:space="preserve">2026</w:t>
      </w:r>
      <w:r>
        <w:rPr>
          <w:rStyle w:val="ErrorTok"/>
        </w:rPr>
        <w:t xml:space="preserve">/07/03/sbom-abc123.xml</w:t>
      </w:r>
      <w:r>
        <w:rPr>
          <w:rStyle w:val="StringTok"/>
        </w:rPr>
        <w:t xml:space="preserve">"</w:t>
      </w:r>
      <w:r>
        <w:br/>
      </w:r>
      <w:r>
        <w:rPr>
          <w:rStyle w:val="StringTok"/>
        </w:rPr>
        <w:t xml:space="preserve">}</w:t>
      </w:r>
    </w:p>
    <w:p>
      <w:r>
        <w:pict>
          <v:rect style="width:0;height:1.5pt" o:hralign="center" o:hrstd="t" o:hr="t"/>
        </w:pict>
      </w:r>
    </w:p>
    <w:bookmarkEnd w:id="30"/>
    <w:bookmarkEnd w:id="31"/>
    <w:bookmarkStart w:id="32" w:name="implementation-checklist"/>
    <w:p>
      <w:pPr>
        <w:pStyle w:val="Heading1"/>
      </w:pPr>
      <w:r>
        <w:t xml:space="preserve">9. Implementation Checklist</w:t>
      </w:r>
    </w:p>
    <w:p>
      <w:pPr>
        <w:pStyle w:val="TableCaption"/>
      </w:pPr>
      <w:r>
        <w:t xml:space="preserve">Vol IV Book 02 — Implementation Checklist</w:t>
      </w:r>
    </w:p>
    <w:tbl>
      <w:tblPr>
        <w:tblStyle w:val="Table"/>
        <w:tblW w:type="pct" w:w="5000"/>
        <w:tblLayout w:type="fixed"/>
        <w:tblLook w:firstRow="1" w:lastRow="0" w:firstColumn="0" w:lastColumn="0" w:noHBand="0" w:noVBand="0" w:val="0020"/>
        <w:tblCaption w:val="Vol IV Book 02 — Implementation Checklist"/>
      </w:tblPr>
      <w:tblGrid>
        <w:gridCol w:w="1980"/>
        <w:gridCol w:w="1980"/>
        <w:gridCol w:w="1980"/>
        <w:gridCol w:w="1980"/>
      </w:tblGrid>
      <w:tr>
        <w:trPr>
          <w:tblHeader w:val="on"/>
        </w:trPr>
        <w:tc>
          <w:tcPr/>
          <w:p>
            <w:pPr>
              <w:pStyle w:val="Compact"/>
            </w:pPr>
            <w:r>
              <w:t xml:space="preserve">Phase</w:t>
            </w:r>
          </w:p>
        </w:tc>
        <w:tc>
          <w:tcPr/>
          <w:p>
            <w:pPr>
              <w:pStyle w:val="Compact"/>
            </w:pPr>
            <w:r>
              <w:t xml:space="preserve">Action</w:t>
            </w:r>
          </w:p>
        </w:tc>
        <w:tc>
          <w:tcPr/>
          <w:p>
            <w:pPr>
              <w:pStyle w:val="Compact"/>
            </w:pPr>
            <w:r>
              <w:t xml:space="preserve">Owner</w:t>
            </w:r>
          </w:p>
        </w:tc>
        <w:tc>
          <w:tcPr/>
          <w:p>
            <w:pPr>
              <w:pStyle w:val="Compact"/>
            </w:pPr>
            <w:r>
              <w:t xml:space="preserve">Target</w:t>
            </w:r>
          </w:p>
        </w:tc>
      </w:tr>
      <w:tr>
        <w:tc>
          <w:tcPr/>
          <w:p>
            <w:pPr>
              <w:pStyle w:val="Compact"/>
            </w:pPr>
            <w:r>
              <w:rPr>
                <w:b/>
                <w:bCs/>
              </w:rPr>
              <w:t xml:space="preserve">Immediate</w:t>
            </w:r>
          </w:p>
        </w:tc>
        <w:tc>
          <w:tcPr/>
          <w:p>
            <w:pPr>
              <w:pStyle w:val="Compact"/>
            </w:pPr>
            <w:r>
              <w:t xml:space="preserve">Install Syft and Grype in GitHub Actions CI</w:t>
            </w:r>
          </w:p>
        </w:tc>
        <w:tc>
          <w:tcPr/>
          <w:p>
            <w:pPr>
              <w:pStyle w:val="Compact"/>
            </w:pPr>
            <w:r>
              <w:t xml:space="preserve">DevOps</w:t>
            </w:r>
          </w:p>
        </w:tc>
        <w:tc>
          <w:tcPr/>
          <w:p>
            <w:pPr>
              <w:pStyle w:val="Compact"/>
            </w:pPr>
            <w:r>
              <w:t xml:space="preserve">Jul 2026</w:t>
            </w:r>
          </w:p>
        </w:tc>
      </w:tr>
      <w:tr>
        <w:tc>
          <w:tcPr/>
          <w:p>
            <w:pPr>
              <w:pStyle w:val="Compact"/>
            </w:pPr>
            <w:r>
              <w:rPr>
                <w:b/>
                <w:bCs/>
              </w:rPr>
              <w:t xml:space="preserve">Immediate</w:t>
            </w:r>
          </w:p>
        </w:tc>
        <w:tc>
          <w:tcPr/>
          <w:p>
            <w:pPr>
              <w:pStyle w:val="Compact"/>
            </w:pPr>
            <w:r>
              <w:t xml:space="preserve">Generate initial SBOM for all production repos</w:t>
            </w:r>
          </w:p>
        </w:tc>
        <w:tc>
          <w:tcPr/>
          <w:p>
            <w:pPr>
              <w:pStyle w:val="Compact"/>
            </w:pPr>
            <w:r>
              <w:t xml:space="preserve">DevOps</w:t>
            </w:r>
          </w:p>
        </w:tc>
        <w:tc>
          <w:tcPr/>
          <w:p>
            <w:pPr>
              <w:pStyle w:val="Compact"/>
            </w:pPr>
            <w:r>
              <w:t xml:space="preserve">Jul 2026</w:t>
            </w:r>
          </w:p>
        </w:tc>
      </w:tr>
      <w:tr>
        <w:tc>
          <w:tcPr/>
          <w:p>
            <w:pPr>
              <w:pStyle w:val="Compact"/>
            </w:pPr>
            <w:r>
              <w:rPr>
                <w:b/>
                <w:bCs/>
              </w:rPr>
              <w:t xml:space="preserve">Immediate</w:t>
            </w:r>
          </w:p>
        </w:tc>
        <w:tc>
          <w:tcPr/>
          <w:p>
            <w:pPr>
              <w:pStyle w:val="Compact"/>
            </w:pPr>
            <w:r>
              <w:t xml:space="preserve">Register with MSRC, Cisco PSIRT, Infoblox security portals</w:t>
            </w:r>
          </w:p>
        </w:tc>
        <w:tc>
          <w:tcPr/>
          <w:p>
            <w:pPr>
              <w:pStyle w:val="Compact"/>
            </w:pPr>
            <w:r>
              <w:t xml:space="preserve">ISSO</w:t>
            </w:r>
          </w:p>
        </w:tc>
        <w:tc>
          <w:tcPr/>
          <w:p>
            <w:pPr>
              <w:pStyle w:val="Compact"/>
            </w:pPr>
            <w:r>
              <w:t xml:space="preserve">Jul 2026</w:t>
            </w:r>
          </w:p>
        </w:tc>
      </w:tr>
      <w:tr>
        <w:tc>
          <w:tcPr/>
          <w:p>
            <w:pPr>
              <w:pStyle w:val="Compact"/>
            </w:pPr>
            <w:r>
              <w:rPr>
                <w:b/>
                <w:bCs/>
              </w:rPr>
              <w:t xml:space="preserve">Phase 1</w:t>
            </w:r>
          </w:p>
        </w:tc>
        <w:tc>
          <w:tcPr/>
          <w:p>
            <w:pPr>
              <w:pStyle w:val="Compact"/>
            </w:pPr>
            <w:r>
              <w:t xml:space="preserve">Author initial VEX for all critical/high CVEs</w:t>
            </w:r>
          </w:p>
        </w:tc>
        <w:tc>
          <w:tcPr/>
          <w:p>
            <w:pPr>
              <w:pStyle w:val="Compact"/>
            </w:pPr>
            <w:r>
              <w:t xml:space="preserve">Security Team</w:t>
            </w:r>
          </w:p>
        </w:tc>
        <w:tc>
          <w:tcPr/>
          <w:p>
            <w:pPr>
              <w:pStyle w:val="Compact"/>
            </w:pPr>
            <w:r>
              <w:t xml:space="preserve">Aug 2026</w:t>
            </w:r>
          </w:p>
        </w:tc>
      </w:tr>
      <w:tr>
        <w:tc>
          <w:tcPr/>
          <w:p>
            <w:pPr>
              <w:pStyle w:val="Compact"/>
            </w:pPr>
            <w:r>
              <w:rPr>
                <w:b/>
                <w:bCs/>
              </w:rPr>
              <w:t xml:space="preserve">Phase 1</w:t>
            </w:r>
          </w:p>
        </w:tc>
        <w:tc>
          <w:tcPr/>
          <w:p>
            <w:pPr>
              <w:pStyle w:val="Compact"/>
            </w:pPr>
            <w:r>
              <w:t xml:space="preserve">Publish SBOM + VDR to the agency evidence repository (test run)</w:t>
            </w:r>
          </w:p>
        </w:tc>
        <w:tc>
          <w:tcPr/>
          <w:p>
            <w:pPr>
              <w:pStyle w:val="Compact"/>
            </w:pPr>
            <w:r>
              <w:t xml:space="preserve">ISSO</w:t>
            </w:r>
          </w:p>
        </w:tc>
        <w:tc>
          <w:tcPr/>
          <w:p>
            <w:pPr>
              <w:pStyle w:val="Compact"/>
            </w:pPr>
            <w:r>
              <w:t xml:space="preserve">Aug 2026</w:t>
            </w:r>
          </w:p>
        </w:tc>
      </w:tr>
      <w:tr>
        <w:tc>
          <w:tcPr/>
          <w:p>
            <w:pPr>
              <w:pStyle w:val="Compact"/>
            </w:pPr>
            <w:r>
              <w:rPr>
                <w:b/>
                <w:bCs/>
              </w:rPr>
              <w:t xml:space="preserve">Phase 1</w:t>
            </w:r>
          </w:p>
        </w:tc>
        <w:tc>
          <w:tcPr/>
          <w:p>
            <w:pPr>
              <w:pStyle w:val="Compact"/>
            </w:pPr>
            <w:r>
              <w:t xml:space="preserve">Update acquisition policy to require SBOM from suppliers</w:t>
            </w:r>
          </w:p>
        </w:tc>
        <w:tc>
          <w:tcPr/>
          <w:p>
            <w:pPr>
              <w:pStyle w:val="Compact"/>
            </w:pPr>
            <w:r>
              <w:t xml:space="preserve">Contracting</w:t>
            </w:r>
          </w:p>
        </w:tc>
        <w:tc>
          <w:tcPr/>
          <w:p>
            <w:pPr>
              <w:pStyle w:val="Compact"/>
            </w:pPr>
            <w:r>
              <w:t xml:space="preserve">Sep 2026</w:t>
            </w:r>
          </w:p>
        </w:tc>
      </w:tr>
      <w:tr>
        <w:tc>
          <w:tcPr/>
          <w:p>
            <w:pPr>
              <w:pStyle w:val="Compact"/>
            </w:pPr>
            <w:r>
              <w:rPr>
                <w:b/>
                <w:bCs/>
              </w:rPr>
              <w:t xml:space="preserve">Phase 2</w:t>
            </w:r>
          </w:p>
        </w:tc>
        <w:tc>
          <w:tcPr/>
          <w:p>
            <w:pPr>
              <w:pStyle w:val="Compact"/>
            </w:pPr>
            <w:r>
              <w:t xml:space="preserve">Achieve SLSA Level 2 for all production release workflows</w:t>
            </w:r>
          </w:p>
        </w:tc>
        <w:tc>
          <w:tcPr/>
          <w:p>
            <w:pPr>
              <w:pStyle w:val="Compact"/>
            </w:pPr>
            <w:r>
              <w:t xml:space="preserve">DevOps</w:t>
            </w:r>
          </w:p>
        </w:tc>
        <w:tc>
          <w:tcPr/>
          <w:p>
            <w:pPr>
              <w:pStyle w:val="Compact"/>
            </w:pPr>
            <w:r>
              <w:t xml:space="preserve">Oct 2026</w:t>
            </w:r>
          </w:p>
        </w:tc>
      </w:tr>
      <w:tr>
        <w:tc>
          <w:tcPr/>
          <w:p>
            <w:pPr>
              <w:pStyle w:val="Compact"/>
            </w:pPr>
            <w:r>
              <w:rPr>
                <w:b/>
                <w:bCs/>
              </w:rPr>
              <w:t xml:space="preserve">Phase 3</w:t>
            </w:r>
          </w:p>
        </w:tc>
        <w:tc>
          <w:tcPr/>
          <w:p>
            <w:pPr>
              <w:pStyle w:val="Compact"/>
            </w:pPr>
            <w:r>
              <w:t xml:space="preserve">Complete VEX quarterly review cycle</w:t>
            </w:r>
          </w:p>
        </w:tc>
        <w:tc>
          <w:tcPr/>
          <w:p>
            <w:pPr>
              <w:pStyle w:val="Compact"/>
            </w:pPr>
            <w:r>
              <w:t xml:space="preserve">Security Team</w:t>
            </w:r>
          </w:p>
        </w:tc>
        <w:tc>
          <w:tcPr/>
          <w:p>
            <w:pPr>
              <w:pStyle w:val="Compact"/>
            </w:pPr>
            <w:r>
              <w:t xml:space="preserve">Nov 2026</w:t>
            </w:r>
          </w:p>
        </w:tc>
      </w:tr>
      <w:tr>
        <w:tc>
          <w:tcPr/>
          <w:p>
            <w:pPr>
              <w:pStyle w:val="Compact"/>
            </w:pPr>
            <w:r>
              <w:rPr>
                <w:b/>
                <w:bCs/>
              </w:rPr>
              <w:t xml:space="preserve">Phase 4</w:t>
            </w:r>
          </w:p>
        </w:tc>
        <w:tc>
          <w:tcPr/>
          <w:p>
            <w:pPr>
              <w:pStyle w:val="Compact"/>
            </w:pPr>
            <w:r>
              <w:t xml:space="preserve">Final FedRAMP VDR/VER submission (NTC-0014); BOD 26-04 remediation SLAs in force</w:t>
            </w:r>
          </w:p>
        </w:tc>
        <w:tc>
          <w:tcPr/>
          <w:p>
            <w:pPr>
              <w:pStyle w:val="Compact"/>
            </w:pPr>
            <w:r>
              <w:t xml:space="preserve">ISSO</w:t>
            </w:r>
          </w:p>
        </w:tc>
        <w:tc>
          <w:tcPr/>
          <w:p>
            <w:pPr>
              <w:pStyle w:val="Compact"/>
            </w:pPr>
            <w:r>
              <w:t xml:space="preserve">Dec 7, 2026</w:t>
            </w:r>
          </w:p>
        </w:tc>
      </w:tr>
    </w:tbl>
    <w:p>
      <w:r>
        <w:pict>
          <v:rect style="width:0;height:1.5pt" o:hralign="center" o:hrstd="t" o:hr="t"/>
        </w:pict>
      </w:r>
    </w:p>
    <w:bookmarkEnd w:id="32"/>
    <w:bookmarkStart w:id="33" w:name="technology-stack-summary"/>
    <w:p>
      <w:pPr>
        <w:pStyle w:val="Heading1"/>
      </w:pPr>
      <w:r>
        <w:t xml:space="preserve">10. Technology Stack Summary</w:t>
      </w:r>
    </w:p>
    <w:p>
      <w:pPr>
        <w:pStyle w:val="TableCaption"/>
      </w:pPr>
      <w:r>
        <w:t xml:space="preserve">Vol IV Book 02 — Technology Stack</w:t>
      </w:r>
    </w:p>
    <w:tbl>
      <w:tblPr>
        <w:tblStyle w:val="Table"/>
        <w:tblW w:type="pct" w:w="5000"/>
        <w:tblLayout w:type="fixed"/>
        <w:tblLook w:firstRow="1" w:lastRow="0" w:firstColumn="0" w:lastColumn="0" w:noHBand="0" w:noVBand="0" w:val="0020"/>
        <w:tblCaption w:val="Vol IV Book 02 — Technology Stack"/>
      </w:tblPr>
      <w:tblGrid>
        <w:gridCol w:w="1980"/>
        <w:gridCol w:w="1980"/>
        <w:gridCol w:w="1980"/>
        <w:gridCol w:w="1980"/>
      </w:tblGrid>
      <w:tr>
        <w:trPr>
          <w:tblHeader w:val="on"/>
        </w:trPr>
        <w:tc>
          <w:tcPr/>
          <w:p>
            <w:pPr>
              <w:pStyle w:val="Compact"/>
            </w:pPr>
            <w:r>
              <w:t xml:space="preserve">Component</w:t>
            </w:r>
          </w:p>
        </w:tc>
        <w:tc>
          <w:tcPr/>
          <w:p>
            <w:pPr>
              <w:pStyle w:val="Compact"/>
            </w:pPr>
            <w:r>
              <w:t xml:space="preserve">Tool</w:t>
            </w:r>
          </w:p>
        </w:tc>
        <w:tc>
          <w:tcPr/>
          <w:p>
            <w:pPr>
              <w:pStyle w:val="Compact"/>
            </w:pPr>
            <w:r>
              <w:t xml:space="preserve">Format</w:t>
            </w:r>
          </w:p>
        </w:tc>
        <w:tc>
          <w:tcPr/>
          <w:p>
            <w:pPr>
              <w:pStyle w:val="Compact"/>
            </w:pPr>
            <w:r>
              <w:t xml:space="preserve">Standard</w:t>
            </w:r>
          </w:p>
        </w:tc>
      </w:tr>
      <w:tr>
        <w:tc>
          <w:tcPr/>
          <w:p>
            <w:pPr>
              <w:pStyle w:val="Compact"/>
            </w:pPr>
            <w:r>
              <w:t xml:space="preserve">SBOM Generation</w:t>
            </w:r>
          </w:p>
        </w:tc>
        <w:tc>
          <w:tcPr/>
          <w:p>
            <w:pPr>
              <w:pStyle w:val="Compact"/>
            </w:pPr>
            <w:r>
              <w:t xml:space="preserve">Syft (Anchore)</w:t>
            </w:r>
          </w:p>
        </w:tc>
        <w:tc>
          <w:tcPr/>
          <w:p>
            <w:pPr>
              <w:pStyle w:val="Compact"/>
            </w:pPr>
            <w:r>
              <w:t xml:space="preserve">CycloneDX 1.6 XML</w:t>
            </w:r>
          </w:p>
        </w:tc>
        <w:tc>
          <w:tcPr/>
          <w:p>
            <w:pPr>
              <w:pStyle w:val="Compact"/>
            </w:pPr>
            <w:r>
              <w:t xml:space="preserve">NTIA minimum elements; CISA preferred</w:t>
            </w:r>
          </w:p>
        </w:tc>
      </w:tr>
      <w:tr>
        <w:tc>
          <w:tcPr/>
          <w:p>
            <w:pPr>
              <w:pStyle w:val="Compact"/>
            </w:pPr>
            <w:r>
              <w:t xml:space="preserve">Vulnerability Scan</w:t>
            </w:r>
          </w:p>
        </w:tc>
        <w:tc>
          <w:tcPr/>
          <w:p>
            <w:pPr>
              <w:pStyle w:val="Compact"/>
            </w:pPr>
            <w:r>
              <w:t xml:space="preserve">Grype (Anchore)</w:t>
            </w:r>
          </w:p>
        </w:tc>
        <w:tc>
          <w:tcPr/>
          <w:p>
            <w:pPr>
              <w:pStyle w:val="Compact"/>
            </w:pPr>
            <w:r>
              <w:t xml:space="preserve">CycloneDX VDR</w:t>
            </w:r>
          </w:p>
        </w:tc>
        <w:tc>
          <w:tcPr/>
          <w:p>
            <w:pPr>
              <w:pStyle w:val="Compact"/>
            </w:pPr>
            <w:r>
              <w:t xml:space="preserve">NVD CVE data; CVSS 3.1</w:t>
            </w:r>
          </w:p>
        </w:tc>
      </w:tr>
      <w:tr>
        <w:tc>
          <w:tcPr/>
          <w:p>
            <w:pPr>
              <w:pStyle w:val="Compact"/>
            </w:pPr>
            <w:r>
              <w:t xml:space="preserve">VEX Authoring</w:t>
            </w:r>
          </w:p>
        </w:tc>
        <w:tc>
          <w:tcPr/>
          <w:p>
            <w:pPr>
              <w:pStyle w:val="Compact"/>
            </w:pPr>
            <w:r>
              <w:t xml:space="preserve">OpenVEX CLI</w:t>
            </w:r>
          </w:p>
        </w:tc>
        <w:tc>
          <w:tcPr/>
          <w:p>
            <w:pPr>
              <w:pStyle w:val="Compact"/>
            </w:pPr>
            <w:r>
              <w:t xml:space="preserve">OpenVEX JSON</w:t>
            </w:r>
          </w:p>
        </w:tc>
        <w:tc>
          <w:tcPr/>
          <w:p>
            <w:pPr>
              <w:pStyle w:val="Compact"/>
            </w:pPr>
            <w:r>
              <w:t xml:space="preserve">CISA VEX format; submitted via VEX Portal</w:t>
            </w:r>
          </w:p>
        </w:tc>
      </w:tr>
      <w:tr>
        <w:tc>
          <w:tcPr/>
          <w:p>
            <w:pPr>
              <w:pStyle w:val="Compact"/>
            </w:pPr>
            <w:r>
              <w:t xml:space="preserve">Container Signing</w:t>
            </w:r>
          </w:p>
        </w:tc>
        <w:tc>
          <w:tcPr/>
          <w:p>
            <w:pPr>
              <w:pStyle w:val="Compact"/>
            </w:pPr>
            <w:r>
              <w:t xml:space="preserve">Cosign (sigstore)</w:t>
            </w:r>
          </w:p>
        </w:tc>
        <w:tc>
          <w:tcPr/>
          <w:p>
            <w:pPr>
              <w:pStyle w:val="Compact"/>
            </w:pPr>
            <w:r>
              <w:t xml:space="preserve">OCI attestation</w:t>
            </w:r>
          </w:p>
        </w:tc>
        <w:tc>
          <w:tcPr/>
          <w:p>
            <w:pPr>
              <w:pStyle w:val="Compact"/>
            </w:pPr>
            <w:r>
              <w:t xml:space="preserve">SLSA provenance</w:t>
            </w:r>
          </w:p>
        </w:tc>
      </w:tr>
      <w:tr>
        <w:tc>
          <w:tcPr/>
          <w:p>
            <w:pPr>
              <w:pStyle w:val="Compact"/>
            </w:pPr>
            <w:r>
              <w:t xml:space="preserve">CI Integration</w:t>
            </w:r>
          </w:p>
        </w:tc>
        <w:tc>
          <w:tcPr/>
          <w:p>
            <w:pPr>
              <w:pStyle w:val="Compact"/>
            </w:pPr>
            <w:r>
              <w:t xml:space="preserve">GitHub Actions</w:t>
            </w:r>
          </w:p>
        </w:tc>
        <w:tc>
          <w:tcPr/>
          <w:p>
            <w:pPr>
              <w:pStyle w:val="Compact"/>
            </w:pPr>
            <w:r>
              <w:t xml:space="preserve">YAML workflow</w:t>
            </w:r>
          </w:p>
        </w:tc>
        <w:tc>
          <w:tcPr/>
          <w:p>
            <w:pPr>
              <w:pStyle w:val="Compact"/>
            </w:pPr>
            <w:r>
              <w:t xml:space="preserve">SLSA Level 2 build</w:t>
            </w:r>
          </w:p>
        </w:tc>
      </w:tr>
      <w:tr>
        <w:tc>
          <w:tcPr/>
          <w:p>
            <w:pPr>
              <w:pStyle w:val="Compact"/>
            </w:pPr>
            <w:r>
              <w:t xml:space="preserve">Archive Storage</w:t>
            </w:r>
          </w:p>
        </w:tc>
        <w:tc>
          <w:tcPr/>
          <w:p>
            <w:pPr>
              <w:pStyle w:val="Compact"/>
            </w:pPr>
            <w:r>
              <w:t xml:space="preserve">Azure Blob immutable tier</w:t>
            </w:r>
          </w:p>
        </w:tc>
        <w:tc>
          <w:tcPr/>
          <w:p>
            <w:pPr>
              <w:pStyle w:val="Compact"/>
            </w:pPr>
            <w:r>
              <w:t xml:space="preserve">Archive tier</w:t>
            </w:r>
          </w:p>
        </w:tc>
        <w:tc>
          <w:tcPr/>
          <w:p>
            <w:pPr>
              <w:pStyle w:val="Compact"/>
            </w:pPr>
            <w:r>
              <w:t xml:space="preserve">7-year NARA retention</w:t>
            </w:r>
          </w:p>
        </w:tc>
      </w:tr>
      <w:tr>
        <w:tc>
          <w:tcPr/>
          <w:p>
            <w:pPr>
              <w:pStyle w:val="Compact"/>
            </w:pPr>
            <w:r>
              <w:t xml:space="preserve">Monitoring</w:t>
            </w:r>
          </w:p>
        </w:tc>
        <w:tc>
          <w:tcPr/>
          <w:p>
            <w:pPr>
              <w:pStyle w:val="Compact"/>
            </w:pPr>
            <w:r>
              <w:t xml:space="preserve">Microsoft Sentinel (Vol III Book 06)</w:t>
            </w:r>
          </w:p>
        </w:tc>
        <w:tc>
          <w:tcPr/>
          <w:p>
            <w:pPr>
              <w:pStyle w:val="Compact"/>
            </w:pPr>
            <w:r>
              <w:t xml:space="preserve">KQL analytics</w:t>
            </w:r>
          </w:p>
        </w:tc>
        <w:tc>
          <w:tcPr/>
          <w:p>
            <w:pPr>
              <w:pStyle w:val="Compact"/>
            </w:pPr>
            <w:r>
              <w:t xml:space="preserve">KSI-MLA evidence chain</w:t>
            </w:r>
          </w:p>
        </w:tc>
      </w:tr>
      <w:tr>
        <w:tc>
          <w:tcPr/>
          <w:p>
            <w:pPr>
              <w:pStyle w:val="Compact"/>
            </w:pPr>
            <w:r>
              <w:t xml:space="preserve">KEV Integration</w:t>
            </w:r>
          </w:p>
        </w:tc>
        <w:tc>
          <w:tcPr/>
          <w:p>
            <w:pPr>
              <w:pStyle w:val="Compact"/>
            </w:pPr>
            <w:r>
              <w:t xml:space="preserve">CISA KEV JSON feed</w:t>
            </w:r>
          </w:p>
        </w:tc>
        <w:tc>
          <w:tcPr/>
          <w:p>
            <w:pPr>
              <w:pStyle w:val="Compact"/>
            </w:pPr>
            <w:r>
              <w:t xml:space="preserve">JSON</w:t>
            </w:r>
          </w:p>
        </w:tc>
        <w:tc>
          <w:tcPr/>
          <w:p>
            <w:pPr>
              <w:pStyle w:val="Compact"/>
            </w:pPr>
            <w:r>
              <w:t xml:space="preserve">BOD 26-04 14-day SLA</w:t>
            </w:r>
          </w:p>
        </w:tc>
      </w:tr>
    </w:tbl>
    <w:p>
      <w:r>
        <w:pict>
          <v:rect style="width:0;height:1.5pt" o:hralign="center" o:hrstd="t" o:hr="t"/>
        </w:pict>
      </w:r>
    </w:p>
    <w:bookmarkEnd w:id="33"/>
    <w:bookmarkStart w:id="36" w:name="references"/>
    <w:p>
      <w:pPr>
        <w:pStyle w:val="Heading1"/>
      </w:pPr>
      <w:r>
        <w:t xml:space="preserve">11. References</w:t>
      </w:r>
    </w:p>
    <w:p>
      <w:pPr>
        <w:pStyle w:val="TableCaption"/>
      </w:pPr>
      <w:r>
        <w:t xml:space="preserve">Reference Documents</w:t>
      </w:r>
    </w:p>
    <w:tbl>
      <w:tblPr>
        <w:tblStyle w:val="Table"/>
        <w:tblW w:type="pct" w:w="5000"/>
        <w:tblLayout w:type="fixed"/>
        <w:tblLook w:firstRow="1" w:lastRow="0" w:firstColumn="0" w:lastColumn="0" w:noHBand="0" w:noVBand="0" w:val="0020"/>
        <w:tblCaption w:val="Reference Documents"/>
      </w:tblPr>
      <w:tblGrid>
        <w:gridCol w:w="3960"/>
        <w:gridCol w:w="3960"/>
      </w:tblGrid>
      <w:tr>
        <w:trPr>
          <w:tblHeader w:val="on"/>
        </w:trPr>
        <w:tc>
          <w:tcPr/>
          <w:p>
            <w:pPr>
              <w:pStyle w:val="Compact"/>
            </w:pPr>
            <w:r>
              <w:t xml:space="preserve">Document</w:t>
            </w:r>
          </w:p>
        </w:tc>
        <w:tc>
          <w:tcPr/>
          <w:p>
            <w:pPr>
              <w:pStyle w:val="Compact"/>
            </w:pPr>
            <w:r>
              <w:t xml:space="preserve">Relevance</w:t>
            </w:r>
          </w:p>
        </w:tc>
      </w:tr>
      <w:tr>
        <w:tc>
          <w:tcPr/>
          <w:p>
            <w:pPr>
              <w:pStyle w:val="Compact"/>
            </w:pPr>
            <w:r>
              <w:t xml:space="preserve">EO 14028 — Improving the Nation’s Cybersecurity (May 2021)</w:t>
            </w:r>
          </w:p>
        </w:tc>
        <w:tc>
          <w:tcPr/>
          <w:p>
            <w:pPr>
              <w:pStyle w:val="Compact"/>
            </w:pPr>
            <w:r>
              <w:t xml:space="preserve">Mandates SBOM for software sold to the federal government</w:t>
            </w:r>
          </w:p>
        </w:tc>
      </w:tr>
      <w:tr>
        <w:tc>
          <w:tcPr/>
          <w:p>
            <w:pPr>
              <w:pStyle w:val="Compact"/>
            </w:pPr>
            <w:r>
              <w:t xml:space="preserve">NIST SP 800-161r1 — Supply Chain Risk Management</w:t>
            </w:r>
          </w:p>
        </w:tc>
        <w:tc>
          <w:tcPr/>
          <w:p>
            <w:pPr>
              <w:pStyle w:val="Compact"/>
            </w:pPr>
            <w:r>
              <w:t xml:space="preserve">Normative reference for SR family controls</w:t>
            </w:r>
          </w:p>
        </w:tc>
      </w:tr>
      <w:tr>
        <w:tc>
          <w:tcPr/>
          <w:p>
            <w:pPr>
              <w:pStyle w:val="Compact"/>
            </w:pPr>
            <w:r>
              <w:t xml:space="preserve">CISA BOD 26-04 (June 2026)</w:t>
            </w:r>
          </w:p>
        </w:tc>
        <w:tc>
          <w:tcPr/>
          <w:p>
            <w:pPr>
              <w:pStyle w:val="Compact"/>
            </w:pPr>
            <w:r>
              <w:t xml:space="preserve">Risk-tiered remediation timelines (3/14/60-day); supersedes BOD 19-02/22-01. Does not mandate SBOM/VDR/VEX artifacts</w:t>
            </w:r>
          </w:p>
        </w:tc>
      </w:tr>
      <w:tr>
        <w:tc>
          <w:tcPr/>
          <w:p>
            <w:pPr>
              <w:pStyle w:val="Compact"/>
            </w:pPr>
            <w:r>
              <w:t xml:space="preserve">FedRAMP NTC-0014 (June 2026)</w:t>
            </w:r>
          </w:p>
        </w:tc>
        <w:tc>
          <w:tcPr/>
          <w:p>
            <w:pPr>
              <w:pStyle w:val="Compact"/>
            </w:pPr>
            <w:r>
              <w:t xml:space="preserve">FedRAMP VDR (Vulnerability Detection &amp; Response) / VER (Vulnerability Evaluation &amp; Reporting) rule sets mandatory Dec 7, 2026</w:t>
            </w:r>
          </w:p>
        </w:tc>
      </w:tr>
      <w:tr>
        <w:tc>
          <w:tcPr/>
          <w:p>
            <w:pPr>
              <w:pStyle w:val="Compact"/>
            </w:pPr>
            <w:r>
              <w:t xml:space="preserve">CISA/NTIA Minimum Elements for an SBOM (July 2021; CISA 2025 update)</w:t>
            </w:r>
          </w:p>
        </w:tc>
        <w:tc>
          <w:tcPr/>
          <w:p>
            <w:pPr>
              <w:pStyle w:val="Compact"/>
            </w:pPr>
            <w:r>
              <w:t xml:space="preserve">NTIA-aligned minimum content requirements</w:t>
            </w:r>
          </w:p>
        </w:tc>
      </w:tr>
      <w:tr>
        <w:tc>
          <w:tcPr/>
          <w:p>
            <w:pPr>
              <w:pStyle w:val="Compact"/>
            </w:pPr>
            <w:r>
              <w:t xml:space="preserve">CycloneDX 1.6 Specification</w:t>
            </w:r>
          </w:p>
        </w:tc>
        <w:tc>
          <w:tcPr/>
          <w:p>
            <w:pPr>
              <w:pStyle w:val="Compact"/>
            </w:pPr>
            <w:r>
              <w:t xml:space="preserve">SBOM, VDR, and VEX document format</w:t>
            </w:r>
          </w:p>
        </w:tc>
      </w:tr>
      <w:tr>
        <w:tc>
          <w:tcPr/>
          <w:p>
            <w:pPr>
              <w:pStyle w:val="Compact"/>
            </w:pPr>
            <w:r>
              <w:t xml:space="preserve">OpenVEX v0.2.0</w:t>
            </w:r>
          </w:p>
        </w:tc>
        <w:tc>
          <w:tcPr/>
          <w:p>
            <w:pPr>
              <w:pStyle w:val="Compact"/>
            </w:pPr>
            <w:r>
              <w:t xml:space="preserve">VEX statement format and submission protocol</w:t>
            </w:r>
          </w:p>
        </w:tc>
      </w:tr>
      <w:tr>
        <w:tc>
          <w:tcPr/>
          <w:p>
            <w:pPr>
              <w:pStyle w:val="Compact"/>
            </w:pPr>
            <w:r>
              <w:t xml:space="preserve">SLSA v1.0 Framework</w:t>
            </w:r>
          </w:p>
        </w:tc>
        <w:tc>
          <w:tcPr/>
          <w:p>
            <w:pPr>
              <w:pStyle w:val="Compact"/>
            </w:pPr>
            <w:r>
              <w:t xml:space="preserve">Build integrity levels and provenance requirements</w:t>
            </w:r>
          </w:p>
        </w:tc>
      </w:tr>
      <w:tr>
        <w:tc>
          <w:tcPr/>
          <w:p>
            <w:pPr>
              <w:pStyle w:val="Compact"/>
            </w:pPr>
            <w:r>
              <w:t xml:space="preserve">NIST SP 800-53 Rev 5 — SR Family</w:t>
            </w:r>
          </w:p>
        </w:tc>
        <w:tc>
          <w:tcPr/>
          <w:p>
            <w:pPr>
              <w:pStyle w:val="Compact"/>
            </w:pPr>
            <w:r>
              <w:t xml:space="preserve">SR-1 through SR-11 control requirements</w:t>
            </w:r>
          </w:p>
        </w:tc>
      </w:tr>
      <w:tr>
        <w:tc>
          <w:tcPr/>
          <w:p>
            <w:pPr>
              <w:pStyle w:val="Compact"/>
            </w:pPr>
            <w:r>
              <w:t xml:space="preserve">FedRAMP 20x Consolidated Rules (Jun 25, 2026)</w:t>
            </w:r>
          </w:p>
        </w:tc>
        <w:tc>
          <w:tcPr/>
          <w:p>
            <w:pPr>
              <w:pStyle w:val="Compact"/>
            </w:pPr>
            <w:r>
              <w:t xml:space="preserve">KSI-SCR and KSI-CMT requirements</w:t>
            </w:r>
          </w:p>
        </w:tc>
      </w:tr>
      <w:tr>
        <w:tc>
          <w:tcPr/>
          <w:p>
            <w:pPr>
              <w:pStyle w:val="Compact"/>
            </w:pPr>
            <w:hyperlink r:id="rId34">
              <w:r>
                <w:rPr>
                  <w:rStyle w:val="Hyperlink"/>
                </w:rPr>
                <w:t xml:space="preserve">Vol III Book 02 — Vulnerability Management</w:t>
              </w:r>
            </w:hyperlink>
          </w:p>
        </w:tc>
        <w:tc>
          <w:tcPr/>
          <w:p>
            <w:pPr>
              <w:pStyle w:val="Compact"/>
            </w:pPr>
            <w:r>
              <w:t xml:space="preserve">Defender VM + KEV integration; extends to SBOM-sourced CVE triage</w:t>
            </w:r>
          </w:p>
        </w:tc>
      </w:tr>
      <w:tr>
        <w:tc>
          <w:tcPr/>
          <w:p>
            <w:pPr>
              <w:pStyle w:val="Compact"/>
            </w:pPr>
            <w:hyperlink r:id="rId35">
              <w:r>
                <w:rPr>
                  <w:rStyle w:val="Hyperlink"/>
                </w:rPr>
                <w:t xml:space="preserve">Vol III Book 06 — SIEM / XDR / Detection Engineering</w:t>
              </w:r>
            </w:hyperlink>
          </w:p>
        </w:tc>
        <w:tc>
          <w:tcPr/>
          <w:p>
            <w:pPr>
              <w:pStyle w:val="Compact"/>
            </w:pPr>
            <w:r>
              <w:t xml:space="preserve">Sentinel ingestion of SBOM/VDR telemetry; KQL analytic rules</w:t>
            </w:r>
          </w:p>
        </w:tc>
      </w:tr>
    </w:tbl>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4" Target="Vol_III_Book_02_Vulnerability_Management.md" TargetMode="External" /><Relationship Type="http://schemas.openxmlformats.org/officeDocument/2006/relationships/hyperlink" Id="rId35" Target="Vol_III_Book_06_SIEM_XDR_Detection.md" TargetMode="External" /></Relationships>
</file>

<file path=word/_rels/footnotes.xml.rels><?xml version="1.0" encoding="UTF-8"?><Relationships xmlns="http://schemas.openxmlformats.org/package/2006/relationships"><Relationship Type="http://schemas.openxmlformats.org/officeDocument/2006/relationships/hyperlink" Id="rId34" Target="Vol_III_Book_02_Vulnerability_Management.md" TargetMode="External" /><Relationship Type="http://schemas.openxmlformats.org/officeDocument/2006/relationships/hyperlink" Id="rId35" Target="Vol_III_Book_06_SIEM_XDR_Detec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IV Book 02 — Federal Compliance — Supply Chain Risk Management</dc:title>
  <dc:creator>Federal Cloud Services</dc:creator>
  <cp:keywords/>
  <dcterms:created xsi:type="dcterms:W3CDTF">2026-10-19T10:09:57Z</dcterms:created>
  <dcterms:modified xsi:type="dcterms:W3CDTF">2026-10-19T10:09:57Z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Supply Chain Risk Management: SBOM, VDR, and VEX Framework (EO 14028 §4 / NIST SP 800-161 / SR-family), with BOD 26-04 remediation SLAs</vt:lpwstr>
  </property>
  <property fmtid="{D5CDD505-2E9C-101B-9397-08002B2CF9AE}" pid="16" name="toc-title">
    <vt:lpwstr>Table of contents</vt:lpwstr>
  </property>
</Properties>
</file>