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IV Book 03 — Federal Compliance — Program Management &amp; Governance</w:t>
      </w:r>
    </w:p>
    <w:p>
      <w:pPr>
        <w:pStyle w:val="Subtitle"/>
      </w:pPr>
      <w:r>
        <w:t xml:space="preserve">Program Management Governance: Security Program Plan, POA&amp;M Framework, and SCRM Charter for FedRAMP 20x</w:t>
      </w:r>
    </w:p>
    <w:p>
      <w:pPr>
        <w:pStyle w:val="Author"/>
      </w:pPr>
      <w:r>
        <w:t xml:space="preserve">Federal Cloud Services</w:t>
      </w:r>
    </w:p>
    <w:p>
      <w:pPr>
        <w:pStyle w:val="Date"/>
      </w:pPr>
      <w:r>
        <w:t xml:space="preserve">2026-07-08 20:07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9"/>
    <w:bookmarkStart w:id="10" w:name="what-this-document-addresses"/>
    <w:p>
      <w:pPr>
        <w:pStyle w:val="Heading2"/>
      </w:pPr>
      <w:r>
        <w:t xml:space="preserve">0.2 What This Document Addresses</w:t>
      </w:r>
    </w:p>
    <w:p>
      <w:pPr>
        <w:pStyle w:val="FirstParagraph"/>
      </w:pPr>
      <w:r>
        <w:t xml:space="preserve">FedRAMP 20x Authorization requires organizational governance artifacts that</w:t>
      </w:r>
      <w:r>
        <w:t xml:space="preserve"> </w:t>
      </w:r>
      <w:r>
        <w:t xml:space="preserve">exist outside the technical control stack. Program Management (PM) controls</w:t>
      </w:r>
      <w:r>
        <w:t xml:space="preserve"> </w:t>
      </w:r>
      <w:r>
        <w:t xml:space="preserve">establish the organizational infrastructure — leadership accountabilities,</w:t>
      </w:r>
      <w:r>
        <w:t xml:space="preserve"> </w:t>
      </w:r>
      <w:r>
        <w:t xml:space="preserve">program plans, metrics, and risk management frameworks — within which all</w:t>
      </w:r>
      <w:r>
        <w:t xml:space="preserve"> </w:t>
      </w:r>
      <w:r>
        <w:t xml:space="preserve">technical controls operate. Without these artifacts, technical evidence</w:t>
      </w:r>
      <w:r>
        <w:t xml:space="preserve"> </w:t>
      </w:r>
      <w:r>
        <w:t xml:space="preserve">cannot be contextualized against organizational mission and risk posture.</w:t>
      </w:r>
    </w:p>
    <w:p>
      <w:pPr>
        <w:pStyle w:val="BodyText"/>
      </w:pPr>
      <w:r>
        <w:t xml:space="preserve">This document provides:</w:t>
      </w:r>
    </w:p>
    <w:p>
      <w:pPr>
        <w:pStyle w:val="Compact"/>
        <w:numPr>
          <w:ilvl w:val="0"/>
          <w:numId w:val="1001"/>
        </w:numPr>
      </w:pPr>
      <w:r>
        <w:rPr>
          <w:b/>
          <w:bCs/>
        </w:rPr>
        <w:t xml:space="preserve">Information Security Program Plan (ISPP)</w:t>
      </w:r>
      <w:r>
        <w:t xml:space="preserve"> </w:t>
      </w:r>
      <w:r>
        <w:t xml:space="preserve">— a structured outline</w:t>
      </w:r>
      <w:r>
        <w:t xml:space="preserve"> </w:t>
      </w:r>
      <w:r>
        <w:t xml:space="preserve">satisfying PM-1, PM-7, PM-11 with a fillable template</w:t>
      </w:r>
    </w:p>
    <w:p>
      <w:pPr>
        <w:pStyle w:val="Compact"/>
        <w:numPr>
          <w:ilvl w:val="0"/>
          <w:numId w:val="1001"/>
        </w:numPr>
      </w:pPr>
      <w:r>
        <w:rPr>
          <w:b/>
          <w:bCs/>
        </w:rPr>
        <w:t xml:space="preserve">Program Leadership RACI</w:t>
      </w:r>
      <w:r>
        <w:t xml:space="preserve"> </w:t>
      </w:r>
      <w:r>
        <w:t xml:space="preserve">— roles, responsibilities, and accountability</w:t>
      </w:r>
      <w:r>
        <w:t xml:space="preserve"> </w:t>
      </w:r>
      <w:r>
        <w:t xml:space="preserve">matrix satisfying PM-2</w:t>
      </w:r>
    </w:p>
    <w:p>
      <w:pPr>
        <w:pStyle w:val="Compact"/>
        <w:numPr>
          <w:ilvl w:val="0"/>
          <w:numId w:val="1001"/>
        </w:numPr>
      </w:pPr>
      <w:r>
        <w:rPr>
          <w:b/>
          <w:bCs/>
        </w:rPr>
        <w:t xml:space="preserve">System Inventory Framework</w:t>
      </w:r>
      <w:r>
        <w:t xml:space="preserve"> </w:t>
      </w:r>
      <w:r>
        <w:t xml:space="preserve">— inventory methodology and automation</w:t>
      </w:r>
      <w:r>
        <w:t xml:space="preserve"> </w:t>
      </w:r>
      <w:r>
        <w:t xml:space="preserve">approach satisfying PM-5</w:t>
      </w:r>
    </w:p>
    <w:p>
      <w:pPr>
        <w:pStyle w:val="Compact"/>
        <w:numPr>
          <w:ilvl w:val="0"/>
          <w:numId w:val="1001"/>
        </w:numPr>
      </w:pPr>
      <w:r>
        <w:rPr>
          <w:b/>
          <w:bCs/>
        </w:rPr>
        <w:t xml:space="preserve">Risk Management Strategy</w:t>
      </w:r>
      <w:r>
        <w:t xml:space="preserve"> </w:t>
      </w:r>
      <w:r>
        <w:t xml:space="preserve">— risk register format and governance cadence</w:t>
      </w:r>
      <w:r>
        <w:t xml:space="preserve"> </w:t>
      </w:r>
      <w:r>
        <w:t xml:space="preserve">satisfying PM-9</w:t>
      </w:r>
    </w:p>
    <w:p>
      <w:pPr>
        <w:pStyle w:val="Compact"/>
        <w:numPr>
          <w:ilvl w:val="0"/>
          <w:numId w:val="1001"/>
        </w:numPr>
      </w:pPr>
      <w:r>
        <w:rPr>
          <w:b/>
          <w:bCs/>
        </w:rPr>
        <w:t xml:space="preserve">Testing, Training, and Monitoring (T&amp;T&amp;M) Plan</w:t>
      </w:r>
      <w:r>
        <w:t xml:space="preserve"> </w:t>
      </w:r>
      <w:r>
        <w:t xml:space="preserve">— tracker template</w:t>
      </w:r>
      <w:r>
        <w:t xml:space="preserve"> </w:t>
      </w:r>
      <w:r>
        <w:t xml:space="preserve">satisfying PM-14</w:t>
      </w:r>
    </w:p>
    <w:p>
      <w:pPr>
        <w:pStyle w:val="Compact"/>
        <w:numPr>
          <w:ilvl w:val="0"/>
          <w:numId w:val="1001"/>
        </w:numPr>
      </w:pPr>
      <w:r>
        <w:rPr>
          <w:b/>
          <w:bCs/>
        </w:rPr>
        <w:t xml:space="preserve">Security Contact Registry</w:t>
      </w:r>
      <w:r>
        <w:t xml:space="preserve"> </w:t>
      </w:r>
      <w:r>
        <w:t xml:space="preserve">— industry liaison contacts satisfying PM-15</w:t>
      </w:r>
    </w:p>
    <w:p>
      <w:pPr>
        <w:pStyle w:val="Compact"/>
        <w:numPr>
          <w:ilvl w:val="0"/>
          <w:numId w:val="1001"/>
        </w:numPr>
      </w:pPr>
      <w:r>
        <w:rPr>
          <w:b/>
          <w:bCs/>
        </w:rPr>
        <w:t xml:space="preserve">Supply Chain Risk Management (SCRM) Governance Charter</w:t>
      </w:r>
      <w:r>
        <w:t xml:space="preserve"> </w:t>
      </w:r>
      <w:r>
        <w:t xml:space="preserve">— organizational</w:t>
      </w:r>
      <w:r>
        <w:t xml:space="preserve"> </w:t>
      </w:r>
      <w:r>
        <w:t xml:space="preserve">SCRM framework satisfying PM-30 and providing the organizational backbone</w:t>
      </w:r>
      <w:r>
        <w:t xml:space="preserve"> </w:t>
      </w:r>
      <w:r>
        <w:t xml:space="preserve">for the technical evidence established in Vol IV Book 02 (Supply Chain Risk Management)</w:t>
      </w:r>
    </w:p>
    <w:p>
      <w:pPr>
        <w:pStyle w:val="FirstParagraph"/>
      </w:pPr>
      <w:r>
        <w:t xml:space="preserve">Together these artifacts provide the templates and framework to close nine NIST SP 800-53 Rev 5 PM family controls</w:t>
      </w:r>
      <w:r>
        <w:t xml:space="preserve"> </w:t>
      </w:r>
      <w:r>
        <w:t xml:space="preserve">and provide the PM-30 evidence that, combined with Vol IV Book 02’s technical</w:t>
      </w:r>
      <w:r>
        <w:t xml:space="preserve"> </w:t>
      </w:r>
      <w:r>
        <w:t xml:space="preserve">SBOM/VDR/VEX pipeline, seeds KSI-SCR coverage (KSI-015, KSI-016).</w:t>
      </w:r>
    </w:p>
    <w:p>
      <w:r>
        <w:pict>
          <v:rect style="width:0;height:1.5pt" o:hralign="center" o:hrstd="t" o:hr="t"/>
        </w:pict>
      </w:r>
    </w:p>
    <w:bookmarkEnd w:id="10"/>
    <w:bookmarkStart w:id="13" w:name="X7058f7ad453c2890024bfad90a4cbe42e48ed2c"/>
    <w:p>
      <w:pPr>
        <w:pStyle w:val="Heading1"/>
      </w:pPr>
      <w:r>
        <w:t xml:space="preserve">1. Program Management Governance in the FedRAMP 20x Context</w:t>
      </w:r>
    </w:p>
    <w:bookmarkStart w:id="11" w:name="why-pm-controls-gate-authorization"/>
    <w:p>
      <w:pPr>
        <w:pStyle w:val="Heading2"/>
      </w:pPr>
      <w:r>
        <w:t xml:space="preserve">1.1 Why PM Controls Gate Authorization</w:t>
      </w:r>
    </w:p>
    <w:p>
      <w:pPr>
        <w:pStyle w:val="FirstParagraph"/>
      </w:pPr>
      <w:r>
        <w:t xml:space="preserve">FedRAMP 20x Key Security Indicators evaluate</w:t>
      </w:r>
      <w:r>
        <w:t xml:space="preserve"> </w:t>
      </w:r>
      <w:r>
        <w:rPr>
          <w:i/>
          <w:iCs/>
        </w:rPr>
        <w:t xml:space="preserve">outcomes</w:t>
      </w:r>
      <w:r>
        <w:t xml:space="preserve">, not checklist</w:t>
      </w:r>
      <w:r>
        <w:t xml:space="preserve"> </w:t>
      </w:r>
      <w:r>
        <w:t xml:space="preserve">compliance. PM controls are the organizational preconditions that determine</w:t>
      </w:r>
      <w:r>
        <w:t xml:space="preserve"> </w:t>
      </w:r>
      <w:r>
        <w:t xml:space="preserve">whether technical controls can achieve sustainable outcomes:</w:t>
      </w:r>
    </w:p>
    <w:p>
      <w:pPr>
        <w:pStyle w:val="Compact"/>
        <w:numPr>
          <w:ilvl w:val="0"/>
          <w:numId w:val="1002"/>
        </w:numPr>
      </w:pPr>
      <w:r>
        <w:rPr>
          <w:b/>
          <w:bCs/>
        </w:rPr>
        <w:t xml:space="preserve">PM-1</w:t>
      </w:r>
      <w:r>
        <w:t xml:space="preserve"> </w:t>
      </w:r>
      <w:r>
        <w:t xml:space="preserve">(ISPP) is the document that contextualizes all other controls —</w:t>
      </w:r>
      <w:r>
        <w:t xml:space="preserve"> </w:t>
      </w:r>
      <w:r>
        <w:t xml:space="preserve">without it, there is no authoritative statement of what the security program</w:t>
      </w:r>
      <w:r>
        <w:t xml:space="preserve"> </w:t>
      </w:r>
      <w:r>
        <w:t xml:space="preserve">is trying to achieve</w:t>
      </w:r>
    </w:p>
    <w:p>
      <w:pPr>
        <w:pStyle w:val="Compact"/>
        <w:numPr>
          <w:ilvl w:val="0"/>
          <w:numId w:val="1002"/>
        </w:numPr>
      </w:pPr>
      <w:r>
        <w:rPr>
          <w:b/>
          <w:bCs/>
        </w:rPr>
        <w:t xml:space="preserve">PM-9</w:t>
      </w:r>
      <w:r>
        <w:t xml:space="preserve"> </w:t>
      </w:r>
      <w:r>
        <w:t xml:space="preserve">(Risk Management Strategy) determines how the organization decides</w:t>
      </w:r>
      <w:r>
        <w:t xml:space="preserve"> </w:t>
      </w:r>
      <w:r>
        <w:t xml:space="preserve">which risks to accept, mitigate, transfer, or avoid — every POA&amp;M item</w:t>
      </w:r>
      <w:r>
        <w:t xml:space="preserve"> </w:t>
      </w:r>
      <w:r>
        <w:t xml:space="preserve">references this decision framework</w:t>
      </w:r>
    </w:p>
    <w:p>
      <w:pPr>
        <w:pStyle w:val="Compact"/>
        <w:numPr>
          <w:ilvl w:val="0"/>
          <w:numId w:val="1002"/>
        </w:numPr>
      </w:pPr>
      <w:r>
        <w:rPr>
          <w:b/>
          <w:bCs/>
        </w:rPr>
        <w:t xml:space="preserve">PM-30</w:t>
      </w:r>
      <w:r>
        <w:t xml:space="preserve"> </w:t>
      </w:r>
      <w:r>
        <w:t xml:space="preserve">(SCRM Strategy) is the organizational commitment that makes the</w:t>
      </w:r>
      <w:r>
        <w:t xml:space="preserve"> </w:t>
      </w:r>
      <w:r>
        <w:t xml:space="preserve">Vol IV Book 02 SBOM/VDR/VEX pipeline a governance artifact rather than a technical</w:t>
      </w:r>
      <w:r>
        <w:t xml:space="preserve"> </w:t>
      </w:r>
      <w:r>
        <w:t xml:space="preserve">experiment — it binds leadership to the supply chain risk posture</w:t>
      </w:r>
    </w:p>
    <w:bookmarkEnd w:id="11"/>
    <w:bookmarkStart w:id="12" w:name="pm-controls-closed-by-this-document"/>
    <w:p>
      <w:pPr>
        <w:pStyle w:val="Heading2"/>
      </w:pPr>
      <w:r>
        <w:t xml:space="preserve">1.2 PM Controls Closed by This Document</w:t>
      </w:r>
    </w:p>
    <w:tbl>
      <w:tblPr>
        <w:tblStyle w:val="Table"/>
        <w:tblW w:type="pct" w:w="5000"/>
        <w:tblLayout w:type="fixed"/>
        <w:tblLook w:firstRow="1" w:lastRow="0" w:firstColumn="0" w:lastColumn="0" w:noHBand="0" w:noVBand="0" w:val="0020"/>
      </w:tblPr>
      <w:tblGrid>
        <w:gridCol w:w="2741"/>
        <w:gridCol w:w="2132"/>
        <w:gridCol w:w="3046"/>
      </w:tblGrid>
      <w:tr>
        <w:trPr>
          <w:tblHeader w:val="on"/>
        </w:trPr>
        <w:tc>
          <w:tcPr/>
          <w:p>
            <w:pPr>
              <w:pStyle w:val="Compact"/>
            </w:pPr>
            <w:r>
              <w:t xml:space="preserve">Control</w:t>
            </w:r>
          </w:p>
        </w:tc>
        <w:tc>
          <w:tcPr/>
          <w:p>
            <w:pPr>
              <w:pStyle w:val="Compact"/>
            </w:pPr>
            <w:r>
              <w:t xml:space="preserve">Title</w:t>
            </w:r>
          </w:p>
        </w:tc>
        <w:tc>
          <w:tcPr/>
          <w:p>
            <w:pPr>
              <w:pStyle w:val="Compact"/>
            </w:pPr>
            <w:r>
              <w:t xml:space="preserve">Artifact</w:t>
            </w:r>
          </w:p>
        </w:tc>
      </w:tr>
      <w:tr>
        <w:tc>
          <w:tcPr/>
          <w:p>
            <w:pPr>
              <w:pStyle w:val="Compact"/>
            </w:pPr>
            <w:r>
              <w:t xml:space="preserve">PM-1</w:t>
            </w:r>
          </w:p>
        </w:tc>
        <w:tc>
          <w:tcPr/>
          <w:p>
            <w:pPr>
              <w:pStyle w:val="Compact"/>
            </w:pPr>
            <w:r>
              <w:t xml:space="preserve">Information Security Program Plan</w:t>
            </w:r>
          </w:p>
        </w:tc>
        <w:tc>
          <w:tcPr/>
          <w:p>
            <w:pPr>
              <w:pStyle w:val="Compact"/>
            </w:pPr>
            <w:r>
              <w:t xml:space="preserve">§2 ISPP Template</w:t>
            </w:r>
          </w:p>
        </w:tc>
      </w:tr>
      <w:tr>
        <w:tc>
          <w:tcPr/>
          <w:p>
            <w:pPr>
              <w:pStyle w:val="Compact"/>
            </w:pPr>
            <w:r>
              <w:t xml:space="preserve">PM-2</w:t>
            </w:r>
          </w:p>
        </w:tc>
        <w:tc>
          <w:tcPr/>
          <w:p>
            <w:pPr>
              <w:pStyle w:val="Compact"/>
            </w:pPr>
            <w:r>
              <w:t xml:space="preserve">Info Security Program Leadership Role</w:t>
            </w:r>
          </w:p>
        </w:tc>
        <w:tc>
          <w:tcPr/>
          <w:p>
            <w:pPr>
              <w:pStyle w:val="Compact"/>
            </w:pPr>
            <w:r>
              <w:t xml:space="preserve">§3 Leadership RACI</w:t>
            </w:r>
          </w:p>
        </w:tc>
      </w:tr>
      <w:tr>
        <w:tc>
          <w:tcPr/>
          <w:p>
            <w:pPr>
              <w:pStyle w:val="Compact"/>
            </w:pPr>
            <w:r>
              <w:t xml:space="preserve">PM-5</w:t>
            </w:r>
          </w:p>
        </w:tc>
        <w:tc>
          <w:tcPr/>
          <w:p>
            <w:pPr>
              <w:pStyle w:val="Compact"/>
            </w:pPr>
            <w:r>
              <w:t xml:space="preserve">System Inventory</w:t>
            </w:r>
          </w:p>
        </w:tc>
        <w:tc>
          <w:tcPr/>
          <w:p>
            <w:pPr>
              <w:pStyle w:val="Compact"/>
            </w:pPr>
            <w:r>
              <w:t xml:space="preserve">§4 Inventory Framework</w:t>
            </w:r>
          </w:p>
        </w:tc>
      </w:tr>
      <w:tr>
        <w:tc>
          <w:tcPr/>
          <w:p>
            <w:pPr>
              <w:pStyle w:val="Compact"/>
            </w:pPr>
            <w:r>
              <w:t xml:space="preserve">PM-7</w:t>
            </w:r>
          </w:p>
        </w:tc>
        <w:tc>
          <w:tcPr/>
          <w:p>
            <w:pPr>
              <w:pStyle w:val="Compact"/>
            </w:pPr>
            <w:r>
              <w:t xml:space="preserve">Enterprise Architecture</w:t>
            </w:r>
          </w:p>
        </w:tc>
        <w:tc>
          <w:tcPr/>
          <w:p>
            <w:pPr>
              <w:pStyle w:val="Compact"/>
            </w:pPr>
            <w:r>
              <w:t xml:space="preserve">§2.2 EA Integration</w:t>
            </w:r>
          </w:p>
        </w:tc>
      </w:tr>
      <w:tr>
        <w:tc>
          <w:tcPr/>
          <w:p>
            <w:pPr>
              <w:pStyle w:val="Compact"/>
            </w:pPr>
            <w:r>
              <w:t xml:space="preserve">PM-9</w:t>
            </w:r>
          </w:p>
        </w:tc>
        <w:tc>
          <w:tcPr/>
          <w:p>
            <w:pPr>
              <w:pStyle w:val="Compact"/>
            </w:pPr>
            <w:r>
              <w:t xml:space="preserve">Risk Management Strategy</w:t>
            </w:r>
          </w:p>
        </w:tc>
        <w:tc>
          <w:tcPr/>
          <w:p>
            <w:pPr>
              <w:pStyle w:val="Compact"/>
            </w:pPr>
            <w:r>
              <w:t xml:space="preserve">§5 Risk Register Framework</w:t>
            </w:r>
          </w:p>
        </w:tc>
      </w:tr>
      <w:tr>
        <w:tc>
          <w:tcPr/>
          <w:p>
            <w:pPr>
              <w:pStyle w:val="Compact"/>
            </w:pPr>
            <w:r>
              <w:t xml:space="preserve">PM-11</w:t>
            </w:r>
          </w:p>
        </w:tc>
        <w:tc>
          <w:tcPr/>
          <w:p>
            <w:pPr>
              <w:pStyle w:val="Compact"/>
            </w:pPr>
            <w:r>
              <w:t xml:space="preserve">Mission/Business Process Definition</w:t>
            </w:r>
          </w:p>
        </w:tc>
        <w:tc>
          <w:tcPr/>
          <w:p>
            <w:pPr>
              <w:pStyle w:val="Compact"/>
            </w:pPr>
            <w:r>
              <w:t xml:space="preserve">§2.3 Mission Mapping</w:t>
            </w:r>
          </w:p>
        </w:tc>
      </w:tr>
      <w:tr>
        <w:tc>
          <w:tcPr/>
          <w:p>
            <w:pPr>
              <w:pStyle w:val="Compact"/>
            </w:pPr>
            <w:r>
              <w:t xml:space="preserve">PM-14</w:t>
            </w:r>
          </w:p>
        </w:tc>
        <w:tc>
          <w:tcPr/>
          <w:p>
            <w:pPr>
              <w:pStyle w:val="Compact"/>
            </w:pPr>
            <w:r>
              <w:t xml:space="preserve">Testing, Training, and Monitoring</w:t>
            </w:r>
          </w:p>
        </w:tc>
        <w:tc>
          <w:tcPr/>
          <w:p>
            <w:pPr>
              <w:pStyle w:val="Compact"/>
            </w:pPr>
            <w:r>
              <w:t xml:space="preserve">§6 T&amp;T&amp;M Plan</w:t>
            </w:r>
          </w:p>
        </w:tc>
      </w:tr>
      <w:tr>
        <w:tc>
          <w:tcPr/>
          <w:p>
            <w:pPr>
              <w:pStyle w:val="Compact"/>
            </w:pPr>
            <w:r>
              <w:t xml:space="preserve">PM-15</w:t>
            </w:r>
          </w:p>
        </w:tc>
        <w:tc>
          <w:tcPr/>
          <w:p>
            <w:pPr>
              <w:pStyle w:val="Compact"/>
            </w:pPr>
            <w:r>
              <w:t xml:space="preserve">Security and Privacy Groups and Associations</w:t>
            </w:r>
          </w:p>
        </w:tc>
        <w:tc>
          <w:tcPr/>
          <w:p>
            <w:pPr>
              <w:pStyle w:val="Compact"/>
            </w:pPr>
            <w:r>
              <w:t xml:space="preserve">§7 Contact Registry</w:t>
            </w:r>
          </w:p>
        </w:tc>
      </w:tr>
      <w:tr>
        <w:tc>
          <w:tcPr/>
          <w:p>
            <w:pPr>
              <w:pStyle w:val="Compact"/>
            </w:pPr>
            <w:r>
              <w:t xml:space="preserve">PM-30</w:t>
            </w:r>
          </w:p>
        </w:tc>
        <w:tc>
          <w:tcPr/>
          <w:p>
            <w:pPr>
              <w:pStyle w:val="Compact"/>
            </w:pPr>
            <w:r>
              <w:t xml:space="preserve">Supply Chain Risk Management Strategy</w:t>
            </w:r>
          </w:p>
        </w:tc>
        <w:tc>
          <w:tcPr/>
          <w:p>
            <w:pPr>
              <w:pStyle w:val="Compact"/>
            </w:pPr>
            <w:r>
              <w:t xml:space="preserve">§8 SCRM Charter</w:t>
            </w:r>
          </w:p>
        </w:tc>
      </w:tr>
    </w:tbl>
    <w:p>
      <w:pPr>
        <w:pStyle w:val="BlockText"/>
      </w:pPr>
      <w:r>
        <w:rPr>
          <w:b/>
          <w:bCs/>
        </w:rPr>
        <w:t xml:space="preserve">Closure Necessity — PM family.</w:t>
      </w:r>
      <w:r>
        <w:t xml:space="preserve"> </w:t>
      </w:r>
      <w:r>
        <w:t xml:space="preserve">Every PM control in this book closes</w:t>
      </w:r>
      <w:r>
        <w:t xml:space="preserve"> </w:t>
      </w:r>
      <w:r>
        <w:t xml:space="preserve">through a governance artifact — the ISPP, the leadership RACI, the system</w:t>
      </w:r>
      <w:r>
        <w:t xml:space="preserve"> </w:t>
      </w:r>
      <w:r>
        <w:t xml:space="preserve">inventory framework, the risk register, the T&amp;T&amp;M plan, the SCRM charter —</w:t>
      </w:r>
      <w:r>
        <w:t xml:space="preserve"> </w:t>
      </w:r>
      <w:r>
        <w:t xml:space="preserve">signed by named officials. None of them closes through the network substrate:</w:t>
      </w:r>
      <w:r>
        <w:t xml:space="preserve"> </w:t>
      </w:r>
      <w:r>
        <w:t xml:space="preserve">no resolver, overlay, or enforcement point can author an organizational</w:t>
      </w:r>
      <w:r>
        <w:t xml:space="preserve"> </w:t>
      </w:r>
      <w:r>
        <w:t xml:space="preserve">risk-tolerance statement or a leadership accountability matrix. The series</w:t>
      </w:r>
      <w:r>
        <w:t xml:space="preserve"> </w:t>
      </w:r>
      <w:r>
        <w:t xml:space="preserve">asserts network necessity elsewhere only where control text, physics, or</w:t>
      </w:r>
      <w:r>
        <w:t xml:space="preserve"> </w:t>
      </w:r>
      <w:r>
        <w:t xml:space="preserve">protocol behavior forecloses every alternative; conceding that PM governance</w:t>
      </w:r>
      <w:r>
        <w:t xml:space="preserve"> </w:t>
      </w:r>
      <w:r>
        <w:t xml:space="preserve">is closed by documents, not technology, is what makes those assertions</w:t>
      </w:r>
      <w:r>
        <w:t xml:space="preserve"> </w:t>
      </w:r>
      <w:r>
        <w:t xml:space="preserve">credible.</w:t>
      </w:r>
    </w:p>
    <w:p>
      <w:r>
        <w:pict>
          <v:rect style="width:0;height:1.5pt" o:hralign="center" o:hrstd="t" o:hr="t"/>
        </w:pict>
      </w:r>
    </w:p>
    <w:bookmarkEnd w:id="12"/>
    <w:bookmarkEnd w:id="13"/>
    <w:bookmarkStart w:id="19" w:name="Xadfec1205972c55c7f7da87cd313895defa5c9e"/>
    <w:p>
      <w:pPr>
        <w:pStyle w:val="Heading1"/>
      </w:pPr>
      <w:r>
        <w:t xml:space="preserve">2. Information Security Program Plan (PM-1, PM-7, PM-11)</w:t>
      </w:r>
    </w:p>
    <w:bookmarkStart w:id="15" w:name="ispp-document-template"/>
    <w:p>
      <w:pPr>
        <w:pStyle w:val="Heading2"/>
      </w:pPr>
      <w:r>
        <w:t xml:space="preserve">2.1 ISPP Document Template</w:t>
      </w:r>
    </w:p>
    <w:p>
      <w:pPr>
        <w:pStyle w:val="FirstParagraph"/>
      </w:pPr>
      <w:r>
        <w:t xml:space="preserve">The Information Security Program Plan (ISPP) is the governing document for</w:t>
      </w:r>
      <w:r>
        <w:t xml:space="preserve"> </w:t>
      </w:r>
      <w:r>
        <w:t xml:space="preserve">Agency’s cloud security program under FedRAMP 20x. It must be maintained by</w:t>
      </w:r>
      <w:r>
        <w:t xml:space="preserve"> </w:t>
      </w:r>
      <w:r>
        <w:t xml:space="preserve">the designated Senior Agency Information Security Officer (SAISO/CISO) and</w:t>
      </w:r>
      <w:r>
        <w:t xml:space="preserve"> </w:t>
      </w:r>
      <w:r>
        <w:t xml:space="preserve">reviewed annually or after major system changes.</w:t>
      </w:r>
    </w:p>
    <w:bookmarkStart w:id="14" w:name="ispp-section-outline"/>
    <w:p>
      <w:pPr>
        <w:pStyle w:val="Heading3"/>
      </w:pPr>
      <w:r>
        <w:t xml:space="preserve">2.1.1 ISPP Section Outline</w:t>
      </w:r>
    </w:p>
    <w:p>
      <w:pPr>
        <w:pStyle w:val="FirstParagraph"/>
      </w:pPr>
      <w:r>
        <w:rPr>
          <w:b/>
          <w:bCs/>
        </w:rPr>
        <w:t xml:space="preserve">Section 1 — Purpose and Scope</w:t>
      </w:r>
    </w:p>
    <w:p>
      <w:pPr>
        <w:pStyle w:val="BlockText"/>
      </w:pPr>
      <w:r>
        <w:t xml:space="preserve">[FILLABLE] This Information Security Program Plan establishes the security</w:t>
      </w:r>
      <w:r>
        <w:t xml:space="preserve"> </w:t>
      </w:r>
      <w:r>
        <w:t xml:space="preserve">management framework for [SYSTEM NAME], a [IMPACT LEVEL: Low/Moderate/High]</w:t>
      </w:r>
      <w:r>
        <w:t xml:space="preserve"> </w:t>
      </w:r>
      <w:r>
        <w:t xml:space="preserve">impact system operated by the Agency Cloud</w:t>
      </w:r>
      <w:r>
        <w:t xml:space="preserve"> </w:t>
      </w:r>
      <w:r>
        <w:t xml:space="preserve">Services Team under an agency RMF authorization (NIST SP 800-37), with</w:t>
      </w:r>
      <w:r>
        <w:t xml:space="preserve"> </w:t>
      </w:r>
      <w:r>
        <w:t xml:space="preserve">ConMon evidence modeled on the FedRAMP 20x KSI schema.</w:t>
      </w:r>
    </w:p>
    <w:p>
      <w:pPr>
        <w:pStyle w:val="BlockText"/>
      </w:pPr>
      <w:r>
        <w:rPr>
          <w:b/>
          <w:bCs/>
        </w:rPr>
        <w:t xml:space="preserve">Authorization Boundary:</w:t>
      </w:r>
      <w:r>
        <w:t xml:space="preserve"> </w:t>
      </w:r>
      <w:r>
        <w:t xml:space="preserve">[Reference the boundary diagram from the SSP.</w:t>
      </w:r>
      <w:r>
        <w:t xml:space="preserve"> </w:t>
      </w:r>
      <w:r>
        <w:t xml:space="preserve">The boundary must match the system inventory in §PM-5 and the</w:t>
      </w:r>
      <w:r>
        <w:t xml:space="preserve"> </w:t>
      </w:r>
      <w:r>
        <w:t xml:space="preserve">authorization package presented to the Agency Authorizing Official.]</w:t>
      </w:r>
    </w:p>
    <w:p>
      <w:pPr>
        <w:pStyle w:val="BlockText"/>
      </w:pPr>
      <w:r>
        <w:rPr>
          <w:b/>
          <w:bCs/>
        </w:rPr>
        <w:t xml:space="preserve">Effective Date:</w:t>
      </w:r>
      <w:r>
        <w:t xml:space="preserve"> </w:t>
      </w:r>
      <w:r>
        <w:t xml:space="preserve">[DATE]</w:t>
      </w:r>
      <w:r>
        <w:t xml:space="preserve"> </w:t>
      </w:r>
      <w:r>
        <w:rPr>
          <w:b/>
          <w:bCs/>
        </w:rPr>
        <w:t xml:space="preserve">Review Cycle:</w:t>
      </w:r>
      <w:r>
        <w:t xml:space="preserve"> </w:t>
      </w:r>
      <w:r>
        <w:t xml:space="preserve">Annual / After major change</w:t>
      </w:r>
    </w:p>
    <w:p>
      <w:pPr>
        <w:pStyle w:val="BlockText"/>
      </w:pPr>
      <w:r>
        <w:rPr>
          <w:b/>
          <w:bCs/>
        </w:rPr>
        <w:t xml:space="preserve">Document Owner:</w:t>
      </w:r>
      <w:r>
        <w:t xml:space="preserve"> </w:t>
      </w:r>
      <w:r>
        <w:t xml:space="preserve">[NAME, TITLE] — SAISO/CISO</w:t>
      </w:r>
    </w:p>
    <w:p>
      <w:pPr>
        <w:pStyle w:val="BlockText"/>
      </w:pPr>
      <w:r>
        <w:rPr>
          <w:b/>
          <w:bCs/>
        </w:rPr>
        <w:t xml:space="preserve">Approver:</w:t>
      </w:r>
      <w:r>
        <w:t xml:space="preserve"> </w:t>
      </w:r>
      <w:r>
        <w:t xml:space="preserve">[NAME, TITLE] — Authorizing Official (AO)</w:t>
      </w:r>
    </w:p>
    <w:p>
      <w:pPr>
        <w:pStyle w:val="FirstParagraph"/>
      </w:pPr>
      <w:r>
        <w:rPr>
          <w:b/>
          <w:bCs/>
        </w:rPr>
        <w:t xml:space="preserve">Section 2 — Legal and Regulatory Authority</w:t>
      </w:r>
    </w:p>
    <w:p>
      <w:pPr>
        <w:pStyle w:val="Compact"/>
        <w:numPr>
          <w:ilvl w:val="0"/>
          <w:numId w:val="1003"/>
        </w:numPr>
      </w:pPr>
      <w:r>
        <w:t xml:space="preserve">Federal Information Security Modernization Act (FISMA) 2014, 44 U.S.C. §3551</w:t>
      </w:r>
    </w:p>
    <w:p>
      <w:pPr>
        <w:pStyle w:val="Compact"/>
        <w:numPr>
          <w:ilvl w:val="0"/>
          <w:numId w:val="1003"/>
        </w:numPr>
      </w:pPr>
      <w:r>
        <w:t xml:space="preserve">OMB Circular A-130, Managing Federal Information as a Strategic Resource</w:t>
      </w:r>
    </w:p>
    <w:p>
      <w:pPr>
        <w:pStyle w:val="Compact"/>
        <w:numPr>
          <w:ilvl w:val="0"/>
          <w:numId w:val="1003"/>
        </w:numPr>
      </w:pPr>
      <w:r>
        <w:t xml:space="preserve">NIST SP 800-53 Rev 5, Security and Privacy Controls for Information Systems</w:t>
      </w:r>
    </w:p>
    <w:p>
      <w:pPr>
        <w:pStyle w:val="Compact"/>
        <w:numPr>
          <w:ilvl w:val="0"/>
          <w:numId w:val="1003"/>
        </w:numPr>
      </w:pPr>
      <w:r>
        <w:t xml:space="preserve">FedRAMP 20x Authorization Framework (GSA, 2026)</w:t>
      </w:r>
    </w:p>
    <w:p>
      <w:pPr>
        <w:pStyle w:val="Compact"/>
        <w:numPr>
          <w:ilvl w:val="0"/>
          <w:numId w:val="1003"/>
        </w:numPr>
      </w:pPr>
      <w:r>
        <w:t xml:space="preserve">CISA Binding Operational Directive 26-04 (SBOM/VDR/VER, effective Dec 7, 2026)</w:t>
      </w:r>
    </w:p>
    <w:p>
      <w:pPr>
        <w:pStyle w:val="Compact"/>
        <w:numPr>
          <w:ilvl w:val="0"/>
          <w:numId w:val="1003"/>
        </w:numPr>
      </w:pPr>
      <w:r>
        <w:t xml:space="preserve">Executive Order 14028, Improving the Nation’s Cybersecurity (May 2021)</w:t>
      </w:r>
    </w:p>
    <w:p>
      <w:pPr>
        <w:pStyle w:val="FirstParagraph"/>
      </w:pPr>
      <w:r>
        <w:rPr>
          <w:b/>
          <w:bCs/>
        </w:rPr>
        <w:t xml:space="preserve">Section 3 — Security Program Objectives</w:t>
      </w:r>
    </w:p>
    <w:p>
      <w:pPr>
        <w:pStyle w:val="BlockText"/>
      </w:pPr>
      <w:r>
        <w:t xml:space="preserve">[FILLABLE] The Agency cloud security program is designed to achieve the</w:t>
      </w:r>
      <w:r>
        <w:t xml:space="preserve"> </w:t>
      </w:r>
      <w:r>
        <w:t xml:space="preserve">following risk-based objectives, prioritized in alignment with Agency’s</w:t>
      </w:r>
      <w:r>
        <w:t xml:space="preserve"> </w:t>
      </w:r>
      <w:r>
        <w:t xml:space="preserve">mission of delivering critical citizen services:</w:t>
      </w:r>
    </w:p>
    <w:p>
      <w:pPr>
        <w:pStyle w:val="Compact"/>
        <w:numPr>
          <w:ilvl w:val="0"/>
          <w:numId w:val="1004"/>
        </w:numPr>
      </w:pPr>
      <w:r>
        <w:t xml:space="preserve">Protect the confidentiality, integrity, and availability of citizen PII</w:t>
      </w:r>
      <w:r>
        <w:t xml:space="preserve"> </w:t>
      </w:r>
      <w:r>
        <w:t xml:space="preserve">and benefit payment data</w:t>
      </w:r>
    </w:p>
    <w:p>
      <w:pPr>
        <w:pStyle w:val="Compact"/>
        <w:numPr>
          <w:ilvl w:val="0"/>
          <w:numId w:val="1004"/>
        </w:numPr>
      </w:pPr>
      <w:r>
        <w:t xml:space="preserve">Maintain continuous FedRAMP Moderate authorization across all cloud</w:t>
      </w:r>
      <w:r>
        <w:t xml:space="preserve"> </w:t>
      </w:r>
      <w:r>
        <w:t xml:space="preserve">service offerings used to deliver [MISSION FUNCTIONS]</w:t>
      </w:r>
    </w:p>
    <w:p>
      <w:pPr>
        <w:pStyle w:val="Compact"/>
        <w:numPr>
          <w:ilvl w:val="0"/>
          <w:numId w:val="1004"/>
        </w:numPr>
      </w:pPr>
      <w:r>
        <w:t xml:space="preserve">Achieve and sustain KSI scores meeting the FedRAMP 20x Authorize</w:t>
      </w:r>
      <w:r>
        <w:t xml:space="preserve"> </w:t>
      </w:r>
      <w:r>
        <w:t xml:space="preserve">threshold across all 10 KSI themes by [DATE]</w:t>
      </w:r>
    </w:p>
    <w:p>
      <w:pPr>
        <w:pStyle w:val="Compact"/>
        <w:numPr>
          <w:ilvl w:val="0"/>
          <w:numId w:val="1004"/>
        </w:numPr>
      </w:pPr>
      <w:r>
        <w:t xml:space="preserve">Satisfy the BOD 26-04 SBOM/VDR/VER requirement by December 7, 2026</w:t>
      </w:r>
    </w:p>
    <w:p>
      <w:pPr>
        <w:pStyle w:val="FirstParagraph"/>
      </w:pPr>
      <w:r>
        <w:rPr>
          <w:b/>
          <w:bCs/>
        </w:rPr>
        <w:t xml:space="preserve">Section 4 — Program Resources and Budget</w:t>
      </w:r>
    </w:p>
    <w:p>
      <w:pPr>
        <w:pStyle w:val="BlockText"/>
      </w:pPr>
      <w:r>
        <w:t xml:space="preserve">[FILLABLE] Security program resources are allocated as follows:</w:t>
      </w:r>
    </w:p>
    <w:tbl>
      <w:tblPr>
        <w:tblStyle w:val="Table"/>
        <w:tblW w:type="pct" w:w="5000"/>
        <w:tblLayout w:type="fixed"/>
        <w:tblLook w:firstRow="1" w:lastRow="0" w:firstColumn="0" w:lastColumn="0" w:noHBand="0" w:noVBand="0" w:val="0020"/>
      </w:tblPr>
      <w:tblGrid>
        <w:gridCol w:w="3099"/>
        <w:gridCol w:w="3615"/>
        <w:gridCol w:w="1205"/>
      </w:tblGrid>
      <w:tr>
        <w:trPr>
          <w:tblHeader w:val="on"/>
        </w:trPr>
        <w:tc>
          <w:tcPr/>
          <w:p>
            <w:pPr>
              <w:pStyle w:val="Compact"/>
            </w:pPr>
            <w:r>
              <w:t xml:space="preserve">Resource Category</w:t>
            </w:r>
          </w:p>
        </w:tc>
        <w:tc>
          <w:tcPr/>
          <w:p>
            <w:pPr>
              <w:pStyle w:val="Compact"/>
            </w:pPr>
            <w:r>
              <w:t xml:space="preserve">FY[YEAR] Allocation</w:t>
            </w:r>
          </w:p>
        </w:tc>
        <w:tc>
          <w:tcPr/>
          <w:p>
            <w:pPr>
              <w:pStyle w:val="Compact"/>
            </w:pPr>
            <w:r>
              <w:t xml:space="preserve">Notes</w:t>
            </w:r>
          </w:p>
        </w:tc>
      </w:tr>
      <w:tr>
        <w:tc>
          <w:tcPr/>
          <w:p>
            <w:pPr>
              <w:pStyle w:val="Compact"/>
            </w:pPr>
            <w:r>
              <w:t xml:space="preserve">FTE (security staff)</w:t>
            </w:r>
          </w:p>
        </w:tc>
        <w:tc>
          <w:tcPr/>
          <w:p>
            <w:pPr>
              <w:pStyle w:val="Compact"/>
            </w:pPr>
            <w:r>
              <w:t xml:space="preserve">[N FTE]</w:t>
            </w:r>
          </w:p>
        </w:tc>
        <w:tc>
          <w:tcPr/>
          <w:p>
            <w:pPr>
              <w:pStyle w:val="Compact"/>
            </w:pPr>
            <w:r>
              <w:t xml:space="preserve">ISSO, Security Architect, DevSecOps</w:t>
            </w:r>
          </w:p>
        </w:tc>
      </w:tr>
      <w:tr>
        <w:tc>
          <w:tcPr/>
          <w:p>
            <w:pPr>
              <w:pStyle w:val="Compact"/>
            </w:pPr>
            <w:r>
              <w:t xml:space="preserve">Tools and licensing</w:t>
            </w:r>
          </w:p>
        </w:tc>
        <w:tc>
          <w:tcPr/>
          <w:p>
            <w:pPr>
              <w:pStyle w:val="Compact"/>
            </w:pPr>
            <w:r>
              <w:t xml:space="preserve">$[AMOUNT]</w:t>
            </w:r>
          </w:p>
        </w:tc>
        <w:tc>
          <w:tcPr/>
          <w:p>
            <w:pPr>
              <w:pStyle w:val="Compact"/>
            </w:pPr>
            <w:r>
              <w:t xml:space="preserve">SIEM, vulnerability scanning, SBOM tooling</w:t>
            </w:r>
          </w:p>
        </w:tc>
      </w:tr>
      <w:tr>
        <w:tc>
          <w:tcPr/>
          <w:p>
            <w:pPr>
              <w:pStyle w:val="Compact"/>
            </w:pPr>
            <w:r>
              <w:t xml:space="preserve">Training and certification</w:t>
            </w:r>
          </w:p>
        </w:tc>
        <w:tc>
          <w:tcPr/>
          <w:p>
            <w:pPr>
              <w:pStyle w:val="Compact"/>
            </w:pPr>
            <w:r>
              <w:t xml:space="preserve">$[AMOUNT]</w:t>
            </w:r>
          </w:p>
        </w:tc>
        <w:tc>
          <w:tcPr/>
          <w:p>
            <w:pPr>
              <w:pStyle w:val="Compact"/>
            </w:pPr>
            <w:r>
              <w:t xml:space="preserve">CISSP, FedRAMP training, vendor certs</w:t>
            </w:r>
          </w:p>
        </w:tc>
      </w:tr>
      <w:tr>
        <w:tc>
          <w:tcPr/>
          <w:p>
            <w:pPr>
              <w:pStyle w:val="Compact"/>
            </w:pPr>
            <w:r>
              <w:t xml:space="preserve">Third-party assessment (3PAO)</w:t>
            </w:r>
          </w:p>
        </w:tc>
        <w:tc>
          <w:tcPr/>
          <w:p>
            <w:pPr>
              <w:pStyle w:val="Compact"/>
            </w:pPr>
            <w:r>
              <w:t xml:space="preserve">$[AMOUNT]</w:t>
            </w:r>
          </w:p>
        </w:tc>
        <w:tc>
          <w:tcPr/>
          <w:p>
            <w:pPr>
              <w:pStyle w:val="Compact"/>
            </w:pPr>
            <w:r>
              <w:t xml:space="preserve">Annual assessment + readiness review</w:t>
            </w:r>
          </w:p>
        </w:tc>
      </w:tr>
      <w:tr>
        <w:tc>
          <w:tcPr/>
          <w:p>
            <w:pPr>
              <w:pStyle w:val="Compact"/>
            </w:pPr>
            <w:r>
              <w:t xml:space="preserve">Contingency / incident response</w:t>
            </w:r>
          </w:p>
        </w:tc>
        <w:tc>
          <w:tcPr/>
          <w:p>
            <w:pPr>
              <w:pStyle w:val="Compact"/>
            </w:pPr>
            <w:r>
              <w:t xml:space="preserve">$[AMOUNT]</w:t>
            </w:r>
          </w:p>
        </w:tc>
        <w:tc>
          <w:tcPr/>
          <w:p>
            <w:pPr>
              <w:pStyle w:val="Compact"/>
            </w:pPr>
            <w:r>
              <w:t xml:space="preserve">IR retainer + tabletop exercises</w:t>
            </w:r>
          </w:p>
        </w:tc>
      </w:tr>
    </w:tbl>
    <w:bookmarkEnd w:id="14"/>
    <w:bookmarkEnd w:id="15"/>
    <w:bookmarkStart w:id="16" w:name="enterprise-architecture-integration-pm-7"/>
    <w:p>
      <w:pPr>
        <w:pStyle w:val="Heading2"/>
      </w:pPr>
      <w:r>
        <w:t xml:space="preserve">2.2 Enterprise Architecture Integration (PM-7)</w:t>
      </w:r>
    </w:p>
    <w:p>
      <w:pPr>
        <w:pStyle w:val="FirstParagraph"/>
      </w:pPr>
      <w:r>
        <w:t xml:space="preserve">The Agency security architecture is integrated into the enterprise architecture</w:t>
      </w:r>
      <w:r>
        <w:t xml:space="preserve"> </w:t>
      </w:r>
      <w:r>
        <w:t xml:space="preserve">at three levels:</w:t>
      </w:r>
    </w:p>
    <w:p>
      <w:pPr>
        <w:pStyle w:val="BodyText"/>
      </w:pPr>
      <w:r>
        <w:rPr>
          <w:b/>
          <w:bCs/>
        </w:rPr>
        <w:t xml:space="preserve">Technical Reference Architecture (TRA):</w:t>
      </w:r>
      <w:r>
        <w:t xml:space="preserve"> </w:t>
      </w:r>
      <w:r>
        <w:t xml:space="preserve">Security controls are embedded in</w:t>
      </w:r>
      <w:r>
        <w:t xml:space="preserve"> </w:t>
      </w:r>
      <w:r>
        <w:t xml:space="preserve">the TRA as mandatory capabilities. The Volume I–II Compliance books establish the</w:t>
      </w:r>
      <w:r>
        <w:t xml:space="preserve"> </w:t>
      </w:r>
      <w:r>
        <w:t xml:space="preserve">technical baseline; security controls are not bolt-ons but architectural</w:t>
      </w:r>
      <w:r>
        <w:t xml:space="preserve"> </w:t>
      </w:r>
      <w:r>
        <w:t xml:space="preserve">primitives (Zero Trust, encrypted transit, identity-first network access).</w:t>
      </w:r>
    </w:p>
    <w:p>
      <w:pPr>
        <w:pStyle w:val="BodyText"/>
      </w:pPr>
      <w:r>
        <w:rPr>
          <w:b/>
          <w:bCs/>
        </w:rPr>
        <w:t xml:space="preserve">Application Lifecycle Integration:</w:t>
      </w:r>
      <w:r>
        <w:t xml:space="preserve"> </w:t>
      </w:r>
      <w:r>
        <w:t xml:space="preserve">Every new application must complete</w:t>
      </w:r>
      <w:r>
        <w:t xml:space="preserve"> </w:t>
      </w:r>
      <w:r>
        <w:t xml:space="preserve">a Privacy Threshold Analysis (PTA) and Security Categorization before design</w:t>
      </w:r>
      <w:r>
        <w:t xml:space="preserve"> </w:t>
      </w:r>
      <w:r>
        <w:t xml:space="preserve">begins. Architecture review gates include:</w:t>
      </w:r>
    </w:p>
    <w:p>
      <w:pPr>
        <w:pStyle w:val="Compact"/>
        <w:numPr>
          <w:ilvl w:val="0"/>
          <w:numId w:val="1005"/>
        </w:numPr>
      </w:pPr>
      <w:r>
        <w:rPr>
          <w:b/>
          <w:bCs/>
        </w:rPr>
        <w:t xml:space="preserve">Concept</w:t>
      </w:r>
      <w:r>
        <w:t xml:space="preserve"> </w:t>
      </w:r>
      <w:r>
        <w:t xml:space="preserve">— security classification, boundary definition, data flow</w:t>
      </w:r>
    </w:p>
    <w:p>
      <w:pPr>
        <w:pStyle w:val="Compact"/>
        <w:numPr>
          <w:ilvl w:val="0"/>
          <w:numId w:val="1005"/>
        </w:numPr>
      </w:pPr>
      <w:r>
        <w:rPr>
          <w:b/>
          <w:bCs/>
        </w:rPr>
        <w:t xml:space="preserve">Design</w:t>
      </w:r>
      <w:r>
        <w:t xml:space="preserve"> </w:t>
      </w:r>
      <w:r>
        <w:t xml:space="preserve">— control selection, threat modeling, SBOM requirement binding</w:t>
      </w:r>
    </w:p>
    <w:p>
      <w:pPr>
        <w:pStyle w:val="Compact"/>
        <w:numPr>
          <w:ilvl w:val="0"/>
          <w:numId w:val="1005"/>
        </w:numPr>
      </w:pPr>
      <w:r>
        <w:rPr>
          <w:b/>
          <w:bCs/>
        </w:rPr>
        <w:t xml:space="preserve">Build</w:t>
      </w:r>
      <w:r>
        <w:t xml:space="preserve"> </w:t>
      </w:r>
      <w:r>
        <w:t xml:space="preserve">— security testing requirements, SBOM generation, CI gates</w:t>
      </w:r>
    </w:p>
    <w:p>
      <w:pPr>
        <w:pStyle w:val="Compact"/>
        <w:numPr>
          <w:ilvl w:val="0"/>
          <w:numId w:val="1005"/>
        </w:numPr>
      </w:pPr>
      <w:r>
        <w:rPr>
          <w:b/>
          <w:bCs/>
        </w:rPr>
        <w:t xml:space="preserve">Deploy</w:t>
      </w:r>
      <w:r>
        <w:t xml:space="preserve"> </w:t>
      </w:r>
      <w:r>
        <w:t xml:space="preserve">— ATO/P-ATO check, SBOM/VDR submission, KSI baseline</w:t>
      </w:r>
    </w:p>
    <w:p>
      <w:pPr>
        <w:pStyle w:val="Compact"/>
        <w:numPr>
          <w:ilvl w:val="0"/>
          <w:numId w:val="1005"/>
        </w:numPr>
      </w:pPr>
      <w:r>
        <w:rPr>
          <w:b/>
          <w:bCs/>
        </w:rPr>
        <w:t xml:space="preserve">Operate</w:t>
      </w:r>
      <w:r>
        <w:t xml:space="preserve"> </w:t>
      </w:r>
      <w:r>
        <w:t xml:space="preserve">— continuous monitoring, annual assessment, POA&amp;M management</w:t>
      </w:r>
    </w:p>
    <w:p>
      <w:pPr>
        <w:pStyle w:val="FirstParagraph"/>
      </w:pPr>
      <w:r>
        <w:rPr>
          <w:b/>
          <w:bCs/>
        </w:rPr>
        <w:t xml:space="preserve">EA Artifacts That Reference Security Architecture:</w:t>
      </w:r>
    </w:p>
    <w:p>
      <w:pPr>
        <w:pStyle w:val="Compact"/>
        <w:numPr>
          <w:ilvl w:val="0"/>
          <w:numId w:val="1006"/>
        </w:numPr>
      </w:pPr>
      <w:r>
        <w:t xml:space="preserve">Target Architecture Document (TAD) — references the Volume I–IV Compliance control mappings</w:t>
      </w:r>
    </w:p>
    <w:p>
      <w:pPr>
        <w:pStyle w:val="Compact"/>
        <w:numPr>
          <w:ilvl w:val="0"/>
          <w:numId w:val="1006"/>
        </w:numPr>
      </w:pPr>
      <w:r>
        <w:t xml:space="preserve">Data Architecture — references Vol III Book 05 (Purview/CMK) for data-at-rest controls</w:t>
      </w:r>
    </w:p>
    <w:p>
      <w:pPr>
        <w:pStyle w:val="Compact"/>
        <w:numPr>
          <w:ilvl w:val="0"/>
          <w:numId w:val="1006"/>
        </w:numPr>
      </w:pPr>
      <w:r>
        <w:t xml:space="preserve">Network Architecture — references the Volume I network books and Vol II Book 03 for network security</w:t>
      </w:r>
    </w:p>
    <w:bookmarkEnd w:id="16"/>
    <w:bookmarkStart w:id="18" w:name="Xd0af50a3aadb5a78babad0afeac67d3d9549b2b"/>
    <w:p>
      <w:pPr>
        <w:pStyle w:val="Heading2"/>
      </w:pPr>
      <w:r>
        <w:t xml:space="preserve">2.3 Mission and Business Process Definition (PM-11)</w:t>
      </w:r>
    </w:p>
    <w:bookmarkStart w:id="17" w:name="critical-mission-functions"/>
    <w:p>
      <w:pPr>
        <w:pStyle w:val="Heading3"/>
      </w:pPr>
      <w:r>
        <w:t xml:space="preserve">2.3.1 Critical Mission Functions</w:t>
      </w:r>
    </w:p>
    <w:p>
      <w:pPr>
        <w:pStyle w:val="FirstParagraph"/>
      </w:pPr>
      <w:r>
        <w:t xml:space="preserve">Agency operates the following mission-critical processes relevant to this</w:t>
      </w:r>
      <w:r>
        <w:t xml:space="preserve"> </w:t>
      </w:r>
      <w:r>
        <w:t xml:space="preserve">authorization boundary:</w:t>
      </w:r>
    </w:p>
    <w:tbl>
      <w:tblPr>
        <w:tblStyle w:val="Table"/>
        <w:tblW w:type="pct" w:w="5000"/>
        <w:tblLayout w:type="fixed"/>
        <w:tblLook w:firstRow="1" w:lastRow="0" w:firstColumn="0" w:lastColumn="0" w:noHBand="0" w:noVBand="0" w:val="0020"/>
      </w:tblPr>
      <w:tblGrid>
        <w:gridCol w:w="1980"/>
        <w:gridCol w:w="2212"/>
        <w:gridCol w:w="2562"/>
        <w:gridCol w:w="582"/>
        <w:gridCol w:w="582"/>
      </w:tblGrid>
      <w:tr>
        <w:trPr>
          <w:tblHeader w:val="on"/>
        </w:trPr>
        <w:tc>
          <w:tcPr/>
          <w:p>
            <w:pPr>
              <w:pStyle w:val="Compact"/>
            </w:pPr>
            <w:r>
              <w:t xml:space="preserve">Mission Function</w:t>
            </w:r>
          </w:p>
        </w:tc>
        <w:tc>
          <w:tcPr/>
          <w:p>
            <w:pPr>
              <w:pStyle w:val="Compact"/>
            </w:pPr>
            <w:r>
              <w:t xml:space="preserve">System Dependency</w:t>
            </w:r>
          </w:p>
        </w:tc>
        <w:tc>
          <w:tcPr/>
          <w:p>
            <w:pPr>
              <w:pStyle w:val="Compact"/>
            </w:pPr>
            <w:r>
              <w:t xml:space="preserve">Impact if Unavailable</w:t>
            </w:r>
          </w:p>
        </w:tc>
        <w:tc>
          <w:tcPr/>
          <w:p>
            <w:pPr>
              <w:pStyle w:val="Compact"/>
            </w:pPr>
            <w:r>
              <w:t xml:space="preserve">RTO</w:t>
            </w:r>
          </w:p>
        </w:tc>
        <w:tc>
          <w:tcPr/>
          <w:p>
            <w:pPr>
              <w:pStyle w:val="Compact"/>
            </w:pPr>
            <w:r>
              <w:t xml:space="preserve">RPO</w:t>
            </w:r>
          </w:p>
        </w:tc>
      </w:tr>
      <w:tr>
        <w:tc>
          <w:tcPr/>
          <w:p>
            <w:pPr>
              <w:pStyle w:val="Compact"/>
            </w:pPr>
            <w:r>
              <w:t xml:space="preserve">Benefit payment disbursement</w:t>
            </w:r>
          </w:p>
        </w:tc>
        <w:tc>
          <w:tcPr/>
          <w:p>
            <w:pPr>
              <w:pStyle w:val="Compact"/>
            </w:pPr>
            <w:r>
              <w:t xml:space="preserve">[SYSTEM]</w:t>
            </w:r>
          </w:p>
        </w:tc>
        <w:tc>
          <w:tcPr/>
          <w:p>
            <w:pPr>
              <w:pStyle w:val="Compact"/>
            </w:pPr>
            <w:r>
              <w:t xml:space="preserve">Direct citizen harm</w:t>
            </w:r>
          </w:p>
        </w:tc>
        <w:tc>
          <w:tcPr/>
          <w:p>
            <w:pPr>
              <w:pStyle w:val="Compact"/>
            </w:pPr>
            <w:r>
              <w:t xml:space="preserve">4h</w:t>
            </w:r>
          </w:p>
        </w:tc>
        <w:tc>
          <w:tcPr/>
          <w:p>
            <w:pPr>
              <w:pStyle w:val="Compact"/>
            </w:pPr>
            <w:r>
              <w:t xml:space="preserve">1h</w:t>
            </w:r>
          </w:p>
        </w:tc>
      </w:tr>
      <w:tr>
        <w:tc>
          <w:tcPr/>
          <w:p>
            <w:pPr>
              <w:pStyle w:val="Compact"/>
            </w:pPr>
            <w:r>
              <w:t xml:space="preserve">Disability determination</w:t>
            </w:r>
          </w:p>
        </w:tc>
        <w:tc>
          <w:tcPr/>
          <w:p>
            <w:pPr>
              <w:pStyle w:val="Compact"/>
            </w:pPr>
            <w:r>
              <w:t xml:space="preserve">[SYSTEM]</w:t>
            </w:r>
          </w:p>
        </w:tc>
        <w:tc>
          <w:tcPr/>
          <w:p>
            <w:pPr>
              <w:pStyle w:val="Compact"/>
            </w:pPr>
            <w:r>
              <w:t xml:space="preserve">Service delay</w:t>
            </w:r>
          </w:p>
        </w:tc>
        <w:tc>
          <w:tcPr/>
          <w:p>
            <w:pPr>
              <w:pStyle w:val="Compact"/>
            </w:pPr>
            <w:r>
              <w:t xml:space="preserve">24h</w:t>
            </w:r>
          </w:p>
        </w:tc>
        <w:tc>
          <w:tcPr/>
          <w:p>
            <w:pPr>
              <w:pStyle w:val="Compact"/>
            </w:pPr>
            <w:r>
              <w:t xml:space="preserve">4h</w:t>
            </w:r>
          </w:p>
        </w:tc>
      </w:tr>
      <w:tr>
        <w:tc>
          <w:tcPr/>
          <w:p>
            <w:pPr>
              <w:pStyle w:val="Compact"/>
            </w:pPr>
            <w:r>
              <w:t xml:space="preserve">Online account services (my Social Security)</w:t>
            </w:r>
          </w:p>
        </w:tc>
        <w:tc>
          <w:tcPr/>
          <w:p>
            <w:pPr>
              <w:pStyle w:val="Compact"/>
            </w:pPr>
            <w:r>
              <w:t xml:space="preserve">[SYSTEM]</w:t>
            </w:r>
          </w:p>
        </w:tc>
        <w:tc>
          <w:tcPr/>
          <w:p>
            <w:pPr>
              <w:pStyle w:val="Compact"/>
            </w:pPr>
            <w:r>
              <w:t xml:space="preserve">Service degradation</w:t>
            </w:r>
          </w:p>
        </w:tc>
        <w:tc>
          <w:tcPr/>
          <w:p>
            <w:pPr>
              <w:pStyle w:val="Compact"/>
            </w:pPr>
            <w:r>
              <w:t xml:space="preserve">8h</w:t>
            </w:r>
          </w:p>
        </w:tc>
        <w:tc>
          <w:tcPr/>
          <w:p>
            <w:pPr>
              <w:pStyle w:val="Compact"/>
            </w:pPr>
            <w:r>
              <w:t xml:space="preserve">2h</w:t>
            </w:r>
          </w:p>
        </w:tc>
      </w:tr>
      <w:tr>
        <w:tc>
          <w:tcPr/>
          <w:p>
            <w:pPr>
              <w:pStyle w:val="Compact"/>
            </w:pPr>
            <w:r>
              <w:t xml:space="preserve">Contact center CRM</w:t>
            </w:r>
          </w:p>
        </w:tc>
        <w:tc>
          <w:tcPr/>
          <w:p>
            <w:pPr>
              <w:pStyle w:val="Compact"/>
            </w:pPr>
            <w:r>
              <w:t xml:space="preserve">[SYSTEM]</w:t>
            </w:r>
          </w:p>
        </w:tc>
        <w:tc>
          <w:tcPr/>
          <w:p>
            <w:pPr>
              <w:pStyle w:val="Compact"/>
            </w:pPr>
            <w:r>
              <w:t xml:space="preserve">Citizen service impact</w:t>
            </w:r>
          </w:p>
        </w:tc>
        <w:tc>
          <w:tcPr/>
          <w:p>
            <w:pPr>
              <w:pStyle w:val="Compact"/>
            </w:pPr>
            <w:r>
              <w:t xml:space="preserve">4h</w:t>
            </w:r>
          </w:p>
        </w:tc>
        <w:tc>
          <w:tcPr/>
          <w:p>
            <w:pPr>
              <w:pStyle w:val="Compact"/>
            </w:pPr>
            <w:r>
              <w:t xml:space="preserve">1h</w:t>
            </w:r>
          </w:p>
        </w:tc>
      </w:tr>
    </w:tbl>
    <w:p>
      <w:pPr>
        <w:pStyle w:val="BlockText"/>
      </w:pPr>
      <w:r>
        <w:t xml:space="preserve">[FILLABLE] Complete the above table for all mission functions within the</w:t>
      </w:r>
      <w:r>
        <w:t xml:space="preserve"> </w:t>
      </w:r>
      <w:r>
        <w:t xml:space="preserve">authorization boundary. RTO/RPO values must align with the Contingency Plan</w:t>
      </w:r>
      <w:r>
        <w:t xml:space="preserve"> </w:t>
      </w:r>
      <w:r>
        <w:t xml:space="preserve">(CP controls, Vol IV Book 01) and the Business Impact Analysis (BIA).</w:t>
      </w:r>
    </w:p>
    <w:p>
      <w:r>
        <w:pict>
          <v:rect style="width:0;height:1.5pt" o:hralign="center" o:hrstd="t" o:hr="t"/>
        </w:pict>
      </w:r>
    </w:p>
    <w:bookmarkEnd w:id="17"/>
    <w:bookmarkEnd w:id="18"/>
    <w:bookmarkEnd w:id="19"/>
    <w:bookmarkStart w:id="23" w:name="Xc20d35fd8033d8726b77cf682068ef9b4ad18d8"/>
    <w:p>
      <w:pPr>
        <w:pStyle w:val="Heading1"/>
      </w:pPr>
      <w:r>
        <w:t xml:space="preserve">3. Program Leadership and Accountability (PM-2)</w:t>
      </w:r>
    </w:p>
    <w:bookmarkStart w:id="22" w:name="security-leadership-raci"/>
    <w:p>
      <w:pPr>
        <w:pStyle w:val="Heading2"/>
      </w:pPr>
      <w:r>
        <w:t xml:space="preserve">3.1 Security Leadership RACI</w:t>
      </w:r>
    </w:p>
    <w:p>
      <w:pPr>
        <w:pStyle w:val="FirstParagraph"/>
      </w:pPr>
      <w:r>
        <w:t xml:space="preserve">FedRAMP 20x requires named individuals in security leadership roles. The</w:t>
      </w:r>
      <w:r>
        <w:t xml:space="preserve"> </w:t>
      </w:r>
      <w:r>
        <w:t xml:space="preserve">following RACI (Responsible / Accountable / Consulted / Informed) matrix</w:t>
      </w:r>
      <w:r>
        <w:t xml:space="preserve"> </w:t>
      </w:r>
      <w:r>
        <w:t xml:space="preserve">defines accountabilities for security program activities.</w:t>
      </w:r>
    </w:p>
    <w:bookmarkStart w:id="20" w:name="role-definitions"/>
    <w:p>
      <w:pPr>
        <w:pStyle w:val="Heading3"/>
      </w:pPr>
      <w:r>
        <w:t xml:space="preserve">3.1.1 Role Definitions</w:t>
      </w:r>
    </w:p>
    <w:tbl>
      <w:tblPr>
        <w:tblStyle w:val="Table"/>
        <w:tblW w:type="pct" w:w="5000"/>
        <w:tblLayout w:type="fixed"/>
        <w:tblLook w:firstRow="1" w:lastRow="0" w:firstColumn="0" w:lastColumn="0" w:noHBand="0" w:noVBand="0" w:val="0020"/>
      </w:tblPr>
      <w:tblGrid>
        <w:gridCol w:w="1584"/>
        <w:gridCol w:w="1848"/>
        <w:gridCol w:w="4488"/>
      </w:tblGrid>
      <w:tr>
        <w:trPr>
          <w:tblHeader w:val="on"/>
        </w:trPr>
        <w:tc>
          <w:tcPr/>
          <w:p>
            <w:pPr>
              <w:pStyle w:val="Compact"/>
            </w:pPr>
            <w:r>
              <w:t xml:space="preserve">Role</w:t>
            </w:r>
          </w:p>
        </w:tc>
        <w:tc>
          <w:tcPr/>
          <w:p>
            <w:pPr>
              <w:pStyle w:val="Compact"/>
            </w:pPr>
            <w:r>
              <w:t xml:space="preserve">Title</w:t>
            </w:r>
          </w:p>
        </w:tc>
        <w:tc>
          <w:tcPr/>
          <w:p>
            <w:pPr>
              <w:pStyle w:val="Compact"/>
            </w:pPr>
            <w:r>
              <w:t xml:space="preserve">Responsibilities</w:t>
            </w:r>
          </w:p>
        </w:tc>
      </w:tr>
      <w:tr>
        <w:tc>
          <w:tcPr/>
          <w:p>
            <w:pPr>
              <w:pStyle w:val="Compact"/>
            </w:pPr>
            <w:r>
              <w:rPr>
                <w:b/>
                <w:bCs/>
              </w:rPr>
              <w:t xml:space="preserve">AO</w:t>
            </w:r>
          </w:p>
        </w:tc>
        <w:tc>
          <w:tcPr/>
          <w:p>
            <w:pPr>
              <w:pStyle w:val="Compact"/>
            </w:pPr>
            <w:r>
              <w:t xml:space="preserve">Authorizing Official</w:t>
            </w:r>
          </w:p>
        </w:tc>
        <w:tc>
          <w:tcPr/>
          <w:p>
            <w:pPr>
              <w:pStyle w:val="Compact"/>
            </w:pPr>
            <w:r>
              <w:t xml:space="preserve">Accepts organizational risk; signs ATO</w:t>
            </w:r>
          </w:p>
        </w:tc>
      </w:tr>
      <w:tr>
        <w:tc>
          <w:tcPr/>
          <w:p>
            <w:pPr>
              <w:pStyle w:val="Compact"/>
            </w:pPr>
            <w:r>
              <w:rPr>
                <w:b/>
                <w:bCs/>
              </w:rPr>
              <w:t xml:space="preserve">SAISO/CISO</w:t>
            </w:r>
          </w:p>
        </w:tc>
        <w:tc>
          <w:tcPr/>
          <w:p>
            <w:pPr>
              <w:pStyle w:val="Compact"/>
            </w:pPr>
            <w:r>
              <w:t xml:space="preserve">Chief Information Security Officer</w:t>
            </w:r>
          </w:p>
        </w:tc>
        <w:tc>
          <w:tcPr/>
          <w:p>
            <w:pPr>
              <w:pStyle w:val="Compact"/>
            </w:pPr>
            <w:r>
              <w:t xml:space="preserve">Owns the ISPP; chairs Security Council</w:t>
            </w:r>
          </w:p>
        </w:tc>
      </w:tr>
      <w:tr>
        <w:tc>
          <w:tcPr/>
          <w:p>
            <w:pPr>
              <w:pStyle w:val="Compact"/>
            </w:pPr>
            <w:r>
              <w:rPr>
                <w:b/>
                <w:bCs/>
              </w:rPr>
              <w:t xml:space="preserve">ISSO</w:t>
            </w:r>
          </w:p>
        </w:tc>
        <w:tc>
          <w:tcPr/>
          <w:p>
            <w:pPr>
              <w:pStyle w:val="Compact"/>
            </w:pPr>
            <w:r>
              <w:t xml:space="preserve">Information System Security Officer</w:t>
            </w:r>
          </w:p>
        </w:tc>
        <w:tc>
          <w:tcPr/>
          <w:p>
            <w:pPr>
              <w:pStyle w:val="Compact"/>
            </w:pPr>
            <w:r>
              <w:t xml:space="preserve">Day-to-day control operation; POA&amp;M</w:t>
            </w:r>
          </w:p>
        </w:tc>
      </w:tr>
      <w:tr>
        <w:tc>
          <w:tcPr/>
          <w:p>
            <w:pPr>
              <w:pStyle w:val="Compact"/>
            </w:pPr>
            <w:r>
              <w:rPr>
                <w:b/>
                <w:bCs/>
              </w:rPr>
              <w:t xml:space="preserve">AO Rep</w:t>
            </w:r>
          </w:p>
        </w:tc>
        <w:tc>
          <w:tcPr/>
          <w:p>
            <w:pPr>
              <w:pStyle w:val="Compact"/>
            </w:pPr>
            <w:r>
              <w:t xml:space="preserve">AO Representative</w:t>
            </w:r>
          </w:p>
        </w:tc>
        <w:tc>
          <w:tcPr/>
          <w:p>
            <w:pPr>
              <w:pStyle w:val="Compact"/>
            </w:pPr>
            <w:r>
              <w:t xml:space="preserve">Delegates AO oversight functions</w:t>
            </w:r>
          </w:p>
        </w:tc>
      </w:tr>
      <w:tr>
        <w:tc>
          <w:tcPr/>
          <w:p>
            <w:pPr>
              <w:pStyle w:val="Compact"/>
            </w:pPr>
            <w:r>
              <w:rPr>
                <w:b/>
                <w:bCs/>
              </w:rPr>
              <w:t xml:space="preserve">3PAO</w:t>
            </w:r>
          </w:p>
        </w:tc>
        <w:tc>
          <w:tcPr/>
          <w:p>
            <w:pPr>
              <w:pStyle w:val="Compact"/>
            </w:pPr>
            <w:r>
              <w:t xml:space="preserve">Third-Party Assessment Organization</w:t>
            </w:r>
          </w:p>
        </w:tc>
        <w:tc>
          <w:tcPr/>
          <w:p>
            <w:pPr>
              <w:pStyle w:val="Compact"/>
            </w:pPr>
            <w:r>
              <w:t xml:space="preserve">Annual security assessment</w:t>
            </w:r>
          </w:p>
        </w:tc>
      </w:tr>
      <w:tr>
        <w:tc>
          <w:tcPr/>
          <w:p>
            <w:pPr>
              <w:pStyle w:val="Compact"/>
            </w:pPr>
            <w:r>
              <w:rPr>
                <w:b/>
                <w:bCs/>
              </w:rPr>
              <w:t xml:space="preserve">Privacy Officer</w:t>
            </w:r>
          </w:p>
        </w:tc>
        <w:tc>
          <w:tcPr/>
          <w:p>
            <w:pPr>
              <w:pStyle w:val="Compact"/>
            </w:pPr>
            <w:r>
              <w:t xml:space="preserve">Privacy Program Manager</w:t>
            </w:r>
          </w:p>
        </w:tc>
        <w:tc>
          <w:tcPr/>
          <w:p>
            <w:pPr>
              <w:pStyle w:val="Compact"/>
            </w:pPr>
            <w:r>
              <w:t xml:space="preserve">PT controls; Privacy Impact Assessments</w:t>
            </w:r>
          </w:p>
        </w:tc>
      </w:tr>
      <w:tr>
        <w:tc>
          <w:tcPr/>
          <w:p>
            <w:pPr>
              <w:pStyle w:val="Compact"/>
            </w:pPr>
            <w:r>
              <w:rPr>
                <w:b/>
                <w:bCs/>
              </w:rPr>
              <w:t xml:space="preserve">DevSecOps Lead</w:t>
            </w:r>
          </w:p>
        </w:tc>
        <w:tc>
          <w:tcPr/>
          <w:p>
            <w:pPr>
              <w:pStyle w:val="Compact"/>
            </w:pPr>
            <w:r>
              <w:t xml:space="preserve">DevSecOps Team Lead</w:t>
            </w:r>
          </w:p>
        </w:tc>
        <w:tc>
          <w:tcPr/>
          <w:p>
            <w:pPr>
              <w:pStyle w:val="Compact"/>
            </w:pPr>
            <w:r>
              <w:t xml:space="preserve">CI/CD security gates; SBOM pipeline</w:t>
            </w:r>
          </w:p>
        </w:tc>
      </w:tr>
      <w:tr>
        <w:tc>
          <w:tcPr/>
          <w:p>
            <w:pPr>
              <w:pStyle w:val="Compact"/>
            </w:pPr>
            <w:r>
              <w:rPr>
                <w:b/>
                <w:bCs/>
              </w:rPr>
              <w:t xml:space="preserve">SOC Lead</w:t>
            </w:r>
          </w:p>
        </w:tc>
        <w:tc>
          <w:tcPr/>
          <w:p>
            <w:pPr>
              <w:pStyle w:val="Compact"/>
            </w:pPr>
            <w:r>
              <w:t xml:space="preserve">Security Operations Center Lead</w:t>
            </w:r>
          </w:p>
        </w:tc>
        <w:tc>
          <w:tcPr/>
          <w:p>
            <w:pPr>
              <w:pStyle w:val="Compact"/>
            </w:pPr>
            <w:r>
              <w:t xml:space="preserve">Sentinel monitoring; incident response</w:t>
            </w:r>
          </w:p>
        </w:tc>
      </w:tr>
    </w:tbl>
    <w:bookmarkEnd w:id="20"/>
    <w:bookmarkStart w:id="21" w:name="raci-matrix-key-program-activities"/>
    <w:p>
      <w:pPr>
        <w:pStyle w:val="Heading3"/>
      </w:pPr>
      <w:r>
        <w:t xml:space="preserve">3.1.2 RACI Matrix — Key Program Activities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Activity</w:t>
            </w:r>
          </w:p>
        </w:tc>
        <w:tc>
          <w:tcPr/>
          <w:p>
            <w:pPr>
              <w:pStyle w:val="Compact"/>
            </w:pPr>
            <w:r>
              <w:t xml:space="preserve">AO</w:t>
            </w:r>
          </w:p>
        </w:tc>
        <w:tc>
          <w:tcPr/>
          <w:p>
            <w:pPr>
              <w:pStyle w:val="Compact"/>
            </w:pPr>
            <w:r>
              <w:t xml:space="preserve">CISO</w:t>
            </w:r>
          </w:p>
        </w:tc>
        <w:tc>
          <w:tcPr/>
          <w:p>
            <w:pPr>
              <w:pStyle w:val="Compact"/>
            </w:pPr>
            <w:r>
              <w:t xml:space="preserve">ISSO</w:t>
            </w:r>
          </w:p>
        </w:tc>
        <w:tc>
          <w:tcPr/>
          <w:p>
            <w:pPr>
              <w:pStyle w:val="Compact"/>
            </w:pPr>
            <w:r>
              <w:t xml:space="preserve">DevSecOps</w:t>
            </w:r>
          </w:p>
        </w:tc>
        <w:tc>
          <w:tcPr/>
          <w:p>
            <w:pPr>
              <w:pStyle w:val="Compact"/>
            </w:pPr>
            <w:r>
              <w:t xml:space="preserve">SOC</w:t>
            </w:r>
          </w:p>
        </w:tc>
        <w:tc>
          <w:tcPr/>
          <w:p>
            <w:pPr>
              <w:pStyle w:val="Compact"/>
            </w:pPr>
            <w:r>
              <w:t xml:space="preserve">Privacy</w:t>
            </w:r>
          </w:p>
        </w:tc>
      </w:tr>
      <w:tr>
        <w:tc>
          <w:tcPr/>
          <w:p>
            <w:pPr>
              <w:pStyle w:val="Compact"/>
            </w:pPr>
            <w:r>
              <w:t xml:space="preserve">ATO decision</w:t>
            </w:r>
          </w:p>
        </w:tc>
        <w:tc>
          <w:tcPr/>
          <w:p>
            <w:pPr>
              <w:pStyle w:val="Compact"/>
            </w:pPr>
            <w:r>
              <w:rPr>
                <w:b/>
                <w:bCs/>
              </w:rPr>
              <w:t xml:space="preserve">A</w:t>
            </w:r>
          </w:p>
        </w:tc>
        <w:tc>
          <w:tcPr/>
          <w:p>
            <w:pPr>
              <w:pStyle w:val="Compact"/>
            </w:pPr>
            <w:r>
              <w:t xml:space="preserve">R</w:t>
            </w:r>
          </w:p>
        </w:tc>
        <w:tc>
          <w:tcPr/>
          <w:p>
            <w:pPr>
              <w:pStyle w:val="Compact"/>
            </w:pPr>
            <w:r>
              <w:t xml:space="preserve">C</w:t>
            </w:r>
          </w:p>
        </w:tc>
        <w:tc>
          <w:tcPr/>
          <w:p>
            <w:pPr>
              <w:pStyle w:val="Compact"/>
            </w:pPr>
            <w:r>
              <w:t xml:space="preserve">I</w:t>
            </w:r>
          </w:p>
        </w:tc>
        <w:tc>
          <w:tcPr/>
          <w:p>
            <w:pPr>
              <w:pStyle w:val="Compact"/>
            </w:pPr>
            <w:r>
              <w:t xml:space="preserve">I</w:t>
            </w:r>
          </w:p>
        </w:tc>
        <w:tc>
          <w:tcPr/>
          <w:p>
            <w:pPr>
              <w:pStyle w:val="Compact"/>
            </w:pPr>
            <w:r>
              <w:t xml:space="preserve">C</w:t>
            </w:r>
          </w:p>
        </w:tc>
      </w:tr>
      <w:tr>
        <w:tc>
          <w:tcPr/>
          <w:p>
            <w:pPr>
              <w:pStyle w:val="Compact"/>
            </w:pPr>
            <w:r>
              <w:t xml:space="preserve">Annual security assessment</w:t>
            </w:r>
          </w:p>
        </w:tc>
        <w:tc>
          <w:tcPr/>
          <w:p>
            <w:pPr>
              <w:pStyle w:val="Compact"/>
            </w:pPr>
            <w:r>
              <w:t xml:space="preserve">A</w:t>
            </w:r>
          </w:p>
        </w:tc>
        <w:tc>
          <w:tcPr/>
          <w:p>
            <w:pPr>
              <w:pStyle w:val="Compact"/>
            </w:pPr>
            <w:r>
              <w:rPr>
                <w:b/>
                <w:bCs/>
              </w:rPr>
              <w:t xml:space="preserve">R</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C</w:t>
            </w:r>
          </w:p>
        </w:tc>
      </w:tr>
      <w:tr>
        <w:tc>
          <w:tcPr/>
          <w:p>
            <w:pPr>
              <w:pStyle w:val="Compact"/>
            </w:pPr>
            <w:r>
              <w:t xml:space="preserve">POA&amp;M management</w:t>
            </w:r>
          </w:p>
        </w:tc>
        <w:tc>
          <w:tcPr/>
          <w:p>
            <w:pPr>
              <w:pStyle w:val="Compact"/>
            </w:pPr>
            <w:r>
              <w:t xml:space="preserve">I</w:t>
            </w:r>
          </w:p>
        </w:tc>
        <w:tc>
          <w:tcPr/>
          <w:p>
            <w:pPr>
              <w:pStyle w:val="Compact"/>
            </w:pPr>
            <w:r>
              <w:t xml:space="preserve">A</w:t>
            </w:r>
          </w:p>
        </w:tc>
        <w:tc>
          <w:tcPr/>
          <w:p>
            <w:pPr>
              <w:pStyle w:val="Compact"/>
            </w:pPr>
            <w:r>
              <w:rPr>
                <w:b/>
                <w:bCs/>
              </w:rPr>
              <w:t xml:space="preserve">R</w:t>
            </w:r>
          </w:p>
        </w:tc>
        <w:tc>
          <w:tcPr/>
          <w:p>
            <w:pPr>
              <w:pStyle w:val="Compact"/>
            </w:pPr>
            <w:r>
              <w:t xml:space="preserve">C</w:t>
            </w:r>
          </w:p>
        </w:tc>
        <w:tc>
          <w:tcPr/>
          <w:p>
            <w:pPr>
              <w:pStyle w:val="Compact"/>
            </w:pPr>
            <w:r>
              <w:t xml:space="preserve">C</w:t>
            </w:r>
          </w:p>
        </w:tc>
        <w:tc>
          <w:tcPr/>
          <w:p>
            <w:pPr>
              <w:pStyle w:val="Compact"/>
            </w:pPr>
            <w:r>
              <w:t xml:space="preserve">I</w:t>
            </w:r>
          </w:p>
        </w:tc>
      </w:tr>
      <w:tr>
        <w:tc>
          <w:tcPr/>
          <w:p>
            <w:pPr>
              <w:pStyle w:val="Compact"/>
            </w:pPr>
            <w:r>
              <w:t xml:space="preserve">Incident response</w:t>
            </w:r>
          </w:p>
        </w:tc>
        <w:tc>
          <w:tcPr/>
          <w:p>
            <w:pPr>
              <w:pStyle w:val="Compact"/>
            </w:pPr>
            <w:r>
              <w:t xml:space="preserve">A</w:t>
            </w:r>
          </w:p>
        </w:tc>
        <w:tc>
          <w:tcPr/>
          <w:p>
            <w:pPr>
              <w:pStyle w:val="Compact"/>
            </w:pPr>
            <w:r>
              <w:t xml:space="preserve">R</w:t>
            </w:r>
          </w:p>
        </w:tc>
        <w:tc>
          <w:tcPr/>
          <w:p>
            <w:pPr>
              <w:pStyle w:val="Compact"/>
            </w:pPr>
            <w:r>
              <w:rPr>
                <w:b/>
                <w:bCs/>
              </w:rPr>
              <w:t xml:space="preserve">R</w:t>
            </w:r>
          </w:p>
        </w:tc>
        <w:tc>
          <w:tcPr/>
          <w:p>
            <w:pPr>
              <w:pStyle w:val="Compact"/>
            </w:pPr>
            <w:r>
              <w:t xml:space="preserve">C</w:t>
            </w:r>
          </w:p>
        </w:tc>
        <w:tc>
          <w:tcPr/>
          <w:p>
            <w:pPr>
              <w:pStyle w:val="Compact"/>
            </w:pPr>
            <w:r>
              <w:rPr>
                <w:b/>
                <w:bCs/>
              </w:rPr>
              <w:t xml:space="preserve">R</w:t>
            </w:r>
          </w:p>
        </w:tc>
        <w:tc>
          <w:tcPr/>
          <w:p>
            <w:pPr>
              <w:pStyle w:val="Compact"/>
            </w:pPr>
            <w:r>
              <w:t xml:space="preserve">C</w:t>
            </w:r>
          </w:p>
        </w:tc>
      </w:tr>
      <w:tr>
        <w:tc>
          <w:tcPr/>
          <w:p>
            <w:pPr>
              <w:pStyle w:val="Compact"/>
            </w:pPr>
            <w:r>
              <w:t xml:space="preserve">SBOM/VDR submission (BOD 26-04)</w:t>
            </w:r>
          </w:p>
        </w:tc>
        <w:tc>
          <w:tcPr/>
          <w:p>
            <w:pPr>
              <w:pStyle w:val="Compact"/>
            </w:pPr>
            <w:r>
              <w:t xml:space="preserve">I</w:t>
            </w:r>
          </w:p>
        </w:tc>
        <w:tc>
          <w:tcPr/>
          <w:p>
            <w:pPr>
              <w:pStyle w:val="Compact"/>
            </w:pPr>
            <w:r>
              <w:t xml:space="preserve">A</w:t>
            </w:r>
          </w:p>
        </w:tc>
        <w:tc>
          <w:tcPr/>
          <w:p>
            <w:pPr>
              <w:pStyle w:val="Compact"/>
            </w:pPr>
            <w:r>
              <w:t xml:space="preserve">R</w:t>
            </w:r>
          </w:p>
        </w:tc>
        <w:tc>
          <w:tcPr/>
          <w:p>
            <w:pPr>
              <w:pStyle w:val="Compact"/>
            </w:pPr>
            <w:r>
              <w:rPr>
                <w:b/>
                <w:bCs/>
              </w:rPr>
              <w:t xml:space="preserve">R</w:t>
            </w:r>
          </w:p>
        </w:tc>
        <w:tc>
          <w:tcPr/>
          <w:p>
            <w:pPr>
              <w:pStyle w:val="Compact"/>
            </w:pPr>
            <w:r>
              <w:t xml:space="preserve">I</w:t>
            </w:r>
          </w:p>
        </w:tc>
        <w:tc>
          <w:tcPr/>
          <w:p>
            <w:pPr>
              <w:pStyle w:val="Compact"/>
            </w:pPr>
            <w:r>
              <w:t xml:space="preserve">I</w:t>
            </w:r>
          </w:p>
        </w:tc>
      </w:tr>
      <w:tr>
        <w:tc>
          <w:tcPr/>
          <w:p>
            <w:pPr>
              <w:pStyle w:val="Compact"/>
            </w:pPr>
            <w:r>
              <w:t xml:space="preserve">KSI continuous monitoring</w:t>
            </w:r>
          </w:p>
        </w:tc>
        <w:tc>
          <w:tcPr/>
          <w:p>
            <w:pPr>
              <w:pStyle w:val="Compact"/>
            </w:pPr>
            <w:r>
              <w:t xml:space="preserve">I</w:t>
            </w:r>
          </w:p>
        </w:tc>
        <w:tc>
          <w:tcPr/>
          <w:p>
            <w:pPr>
              <w:pStyle w:val="Compact"/>
            </w:pPr>
            <w:r>
              <w:t xml:space="preserve">A</w:t>
            </w:r>
          </w:p>
        </w:tc>
        <w:tc>
          <w:tcPr/>
          <w:p>
            <w:pPr>
              <w:pStyle w:val="Compact"/>
            </w:pPr>
            <w:r>
              <w:t xml:space="preserve">R</w:t>
            </w:r>
          </w:p>
        </w:tc>
        <w:tc>
          <w:tcPr/>
          <w:p>
            <w:pPr>
              <w:pStyle w:val="Compact"/>
            </w:pPr>
            <w:r>
              <w:t xml:space="preserve">R</w:t>
            </w:r>
          </w:p>
        </w:tc>
        <w:tc>
          <w:tcPr/>
          <w:p>
            <w:pPr>
              <w:pStyle w:val="Compact"/>
            </w:pPr>
            <w:r>
              <w:rPr>
                <w:b/>
                <w:bCs/>
              </w:rPr>
              <w:t xml:space="preserve">R</w:t>
            </w:r>
          </w:p>
        </w:tc>
        <w:tc>
          <w:tcPr/>
          <w:p>
            <w:pPr>
              <w:pStyle w:val="Compact"/>
            </w:pPr>
            <w:r>
              <w:t xml:space="preserve">I</w:t>
            </w:r>
          </w:p>
        </w:tc>
      </w:tr>
      <w:tr>
        <w:tc>
          <w:tcPr/>
          <w:p>
            <w:pPr>
              <w:pStyle w:val="Compact"/>
            </w:pPr>
            <w:r>
              <w:t xml:space="preserve">Privacy Impact Assessment</w:t>
            </w:r>
          </w:p>
        </w:tc>
        <w:tc>
          <w:tcPr/>
          <w:p>
            <w:pPr>
              <w:pStyle w:val="Compact"/>
            </w:pPr>
            <w:r>
              <w:t xml:space="preserve">I</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I</w:t>
            </w:r>
          </w:p>
        </w:tc>
        <w:tc>
          <w:tcPr/>
          <w:p>
            <w:pPr>
              <w:pStyle w:val="Compact"/>
            </w:pPr>
            <w:r>
              <w:rPr>
                <w:b/>
                <w:bCs/>
              </w:rPr>
              <w:t xml:space="preserve">R</w:t>
            </w:r>
          </w:p>
        </w:tc>
      </w:tr>
      <w:tr>
        <w:tc>
          <w:tcPr/>
          <w:p>
            <w:pPr>
              <w:pStyle w:val="Compact"/>
            </w:pPr>
            <w:r>
              <w:t xml:space="preserve">Security training</w:t>
            </w:r>
          </w:p>
        </w:tc>
        <w:tc>
          <w:tcPr/>
          <w:p>
            <w:pPr>
              <w:pStyle w:val="Compact"/>
            </w:pPr>
            <w:r>
              <w:t xml:space="preserve">I</w:t>
            </w:r>
          </w:p>
        </w:tc>
        <w:tc>
          <w:tcPr/>
          <w:p>
            <w:pPr>
              <w:pStyle w:val="Compact"/>
            </w:pPr>
            <w:r>
              <w:rPr>
                <w:b/>
                <w:bCs/>
              </w:rPr>
              <w:t xml:space="preserve">A</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I</w:t>
            </w:r>
          </w:p>
        </w:tc>
      </w:tr>
    </w:tbl>
    <w:p>
      <w:pPr>
        <w:pStyle w:val="BlockText"/>
      </w:pPr>
      <w:r>
        <w:t xml:space="preserve">[FILLABLE] Replace role titles with named individuals. The AO and CISO</w:t>
      </w:r>
      <w:r>
        <w:t xml:space="preserve"> </w:t>
      </w:r>
      <w:r>
        <w:t xml:space="preserve">must be Agency employees; the ISSO may be a contractor with documented oversight.</w:t>
      </w:r>
      <w:r>
        <w:t xml:space="preserve"> </w:t>
      </w:r>
      <w:r>
        <w:t xml:space="preserve">The 3PAO must be FedRAMP-recognized.</w:t>
      </w:r>
    </w:p>
    <w:p>
      <w:pPr>
        <w:pStyle w:val="FirstParagraph"/>
      </w:pPr>
      <w:r>
        <w:t xml:space="preserve">} employees, the ISSO may be a contractor with documented oversight, and the 3PAO must be FedRAMP-recognized. A summary banner states a RACI with role titles is a template, but a RACI with named individuals against each activity is the PM-2 evidence artifact. White background. Source: Vol IV Book 03 Program Management &amp; Governance briefing deck, Date Code 2026-07-09 17:00 ET.” width=</w:t>
      </w:r>
      <w:r>
        <w:t xml:space="preserve">“100%”</w:t>
      </w:r>
      <w:r>
        <w:t xml:space="preserve">}</w:t>
      </w:r>
    </w:p>
    <w:p>
      <w:r>
        <w:pict>
          <v:rect style="width:0;height:1.5pt" o:hralign="center" o:hrstd="t" o:hr="t"/>
        </w:pict>
      </w:r>
    </w:p>
    <w:bookmarkEnd w:id="21"/>
    <w:bookmarkEnd w:id="22"/>
    <w:bookmarkEnd w:id="23"/>
    <w:bookmarkStart w:id="27" w:name="system-inventory-framework-pm-5"/>
    <w:p>
      <w:pPr>
        <w:pStyle w:val="Heading1"/>
      </w:pPr>
      <w:r>
        <w:t xml:space="preserve">4. System Inventory Framework (PM-5)</w:t>
      </w:r>
    </w:p>
    <w:bookmarkStart w:id="24" w:name="inventory-requirements"/>
    <w:p>
      <w:pPr>
        <w:pStyle w:val="Heading2"/>
      </w:pPr>
      <w:r>
        <w:t xml:space="preserve">4.1 Inventory Requirements</w:t>
      </w:r>
    </w:p>
    <w:p>
      <w:pPr>
        <w:pStyle w:val="FirstParagraph"/>
      </w:pPr>
      <w:r>
        <w:t xml:space="preserve">NIST SP 800-53 PM-5 requires a current, complete inventory of all system</w:t>
      </w:r>
      <w:r>
        <w:t xml:space="preserve"> </w:t>
      </w:r>
      <w:r>
        <w:t xml:space="preserve">components within the authorization boundary. FedRAMP 20x additionally</w:t>
      </w:r>
      <w:r>
        <w:t xml:space="preserve"> </w:t>
      </w:r>
      <w:r>
        <w:t xml:space="preserve">requires that the inventory be machine-readable and kept in sync with</w:t>
      </w:r>
      <w:r>
        <w:t xml:space="preserve"> </w:t>
      </w:r>
      <w:r>
        <w:t xml:space="preserve">the deployed state.</w:t>
      </w:r>
    </w:p>
    <w:bookmarkEnd w:id="24"/>
    <w:bookmarkStart w:id="25" w:name="automation-approach"/>
    <w:p>
      <w:pPr>
        <w:pStyle w:val="Heading2"/>
      </w:pPr>
      <w:r>
        <w:t xml:space="preserve">4.2 Automation Approach</w:t>
      </w:r>
    </w:p>
    <w:p>
      <w:pPr>
        <w:pStyle w:val="FirstParagraph"/>
      </w:pPr>
      <w:r>
        <w:t xml:space="preserve">The Agency system inventory is maintained through a three-layer approach:</w:t>
      </w:r>
    </w:p>
    <w:p>
      <w:pPr>
        <w:pStyle w:val="BodyText"/>
      </w:pPr>
      <w:r>
        <w:rPr>
          <w:b/>
          <w:bCs/>
        </w:rPr>
        <w:t xml:space="preserve">Layer 1 — Infrastructure Inventory (Automated)</w:t>
      </w:r>
    </w:p>
    <w:p>
      <w:pPr>
        <w:pStyle w:val="BodyText"/>
      </w:pPr>
      <w:r>
        <w:t xml:space="preserve">Azure Resource Graph queries provide real-time inventory of all Azure resources</w:t>
      </w:r>
      <w:r>
        <w:t xml:space="preserve"> </w:t>
      </w:r>
      <w:r>
        <w:t xml:space="preserve">within the authorization boundary subscription(s). A scheduled Logic App</w:t>
      </w:r>
      <w:r>
        <w:t xml:space="preserve"> </w:t>
      </w:r>
      <w:r>
        <w:t xml:space="preserve">exports the inventory to a structured JSON format every 24 hours.</w:t>
      </w:r>
    </w:p>
    <w:p>
      <w:pPr>
        <w:pStyle w:val="SourceCode"/>
      </w:pPr>
      <w:r>
        <w:rPr>
          <w:rStyle w:val="VerbatimChar"/>
        </w:rPr>
        <w:t xml:space="preserve">// Azure Resource Graph — authorization boundary inventory</w:t>
      </w:r>
      <w:r>
        <w:br/>
      </w:r>
      <w:r>
        <w:rPr>
          <w:rStyle w:val="VerbatimChar"/>
        </w:rPr>
        <w:t xml:space="preserve">resources</w:t>
      </w:r>
      <w:r>
        <w:br/>
      </w:r>
      <w:r>
        <w:rPr>
          <w:rStyle w:val="VerbatimChar"/>
        </w:rPr>
        <w:t xml:space="preserve">| where subscriptionId in ("[SUBSCRIPTION_IDS]")</w:t>
      </w:r>
      <w:r>
        <w:br/>
      </w:r>
      <w:r>
        <w:rPr>
          <w:rStyle w:val="VerbatimChar"/>
        </w:rPr>
        <w:t xml:space="preserve">| project</w:t>
      </w:r>
      <w:r>
        <w:br/>
      </w:r>
      <w:r>
        <w:rPr>
          <w:rStyle w:val="VerbatimChar"/>
        </w:rPr>
        <w:t xml:space="preserve">    resourceId = id,</w:t>
      </w:r>
      <w:r>
        <w:br/>
      </w:r>
      <w:r>
        <w:rPr>
          <w:rStyle w:val="VerbatimChar"/>
        </w:rPr>
        <w:t xml:space="preserve">    resourceType = type,</w:t>
      </w:r>
      <w:r>
        <w:br/>
      </w:r>
      <w:r>
        <w:rPr>
          <w:rStyle w:val="VerbatimChar"/>
        </w:rPr>
        <w:t xml:space="preserve">    resourceName = name,</w:t>
      </w:r>
      <w:r>
        <w:br/>
      </w:r>
      <w:r>
        <w:rPr>
          <w:rStyle w:val="VerbatimChar"/>
        </w:rPr>
        <w:t xml:space="preserve">    location,</w:t>
      </w:r>
      <w:r>
        <w:br/>
      </w:r>
      <w:r>
        <w:rPr>
          <w:rStyle w:val="VerbatimChar"/>
        </w:rPr>
        <w:t xml:space="preserve">    resourceGroup,</w:t>
      </w:r>
      <w:r>
        <w:br/>
      </w:r>
      <w:r>
        <w:rPr>
          <w:rStyle w:val="VerbatimChar"/>
        </w:rPr>
        <w:t xml:space="preserve">    tags,</w:t>
      </w:r>
      <w:r>
        <w:br/>
      </w:r>
      <w:r>
        <w:rPr>
          <w:rStyle w:val="VerbatimChar"/>
        </w:rPr>
        <w:t xml:space="preserve">    properties</w:t>
      </w:r>
      <w:r>
        <w:br/>
      </w:r>
      <w:r>
        <w:rPr>
          <w:rStyle w:val="VerbatimChar"/>
        </w:rPr>
        <w:t xml:space="preserve">| order by resourceType, resourceName</w:t>
      </w:r>
    </w:p>
    <w:p>
      <w:pPr>
        <w:pStyle w:val="FirstParagraph"/>
      </w:pPr>
      <w:r>
        <w:rPr>
          <w:b/>
          <w:bCs/>
        </w:rPr>
        <w:t xml:space="preserve">Layer 2 — Software Inventory (SBOM)</w:t>
      </w:r>
    </w:p>
    <w:p>
      <w:pPr>
        <w:pStyle w:val="BodyText"/>
      </w:pPr>
      <w:r>
        <w:t xml:space="preserve">Vol IV Book 02 establishes the SBOM pipeline using Syft. Every container image</w:t>
      </w:r>
      <w:r>
        <w:t xml:space="preserve"> </w:t>
      </w:r>
      <w:r>
        <w:t xml:space="preserve">deployed in production generates a CycloneDX 1.6 SBOM at build time. The</w:t>
      </w:r>
      <w:r>
        <w:t xml:space="preserve"> </w:t>
      </w:r>
      <w:r>
        <w:t xml:space="preserve">SBOM manifest is the machine-readable software component inventory.</w:t>
      </w:r>
    </w:p>
    <w:p>
      <w:pPr>
        <w:pStyle w:val="BodyText"/>
      </w:pPr>
      <w:r>
        <w:t xml:space="preserve">Reconciliation between the infrastructure inventory (Layer 1) and the SBOM</w:t>
      </w:r>
      <w:r>
        <w:t xml:space="preserve"> </w:t>
      </w:r>
      <w:r>
        <w:t xml:space="preserve">inventory (Layer 2) is performed monthly by the DevSecOps team. Discrepancies</w:t>
      </w:r>
      <w:r>
        <w:t xml:space="preserve"> </w:t>
      </w:r>
      <w:r>
        <w:t xml:space="preserve">are logged as POA&amp;M items if not resolved within 30 days.</w:t>
      </w:r>
    </w:p>
    <w:p>
      <w:pPr>
        <w:pStyle w:val="BodyText"/>
      </w:pPr>
      <w:r>
        <w:rPr>
          <w:b/>
          <w:bCs/>
        </w:rPr>
        <w:t xml:space="preserve">Layer 3 — Personnel and Account Inventory (Identity)</w:t>
      </w:r>
    </w:p>
    <w:p>
      <w:pPr>
        <w:pStyle w:val="BodyText"/>
      </w:pPr>
      <w:r>
        <w:t xml:space="preserve">Entra ID (Vol I Book 05) provides the authoritative account inventory. The ISSO</w:t>
      </w:r>
      <w:r>
        <w:t xml:space="preserve"> </w:t>
      </w:r>
      <w:r>
        <w:t xml:space="preserve">reviews privileged account counts weekly (referenced by KSI-003). The</w:t>
      </w:r>
      <w:r>
        <w:t xml:space="preserve"> </w:t>
      </w:r>
      <w:r>
        <w:t xml:space="preserve">Vol I Book 05 evidence artifacts satisfy CM-8(2) automated inventory maintenance for</w:t>
      </w:r>
      <w:r>
        <w:t xml:space="preserve"> </w:t>
      </w:r>
      <w:r>
        <w:t xml:space="preserve">the identity plane.</w:t>
      </w:r>
    </w:p>
    <w:bookmarkEnd w:id="25"/>
    <w:bookmarkStart w:id="26" w:name="inventory-template"/>
    <w:p>
      <w:pPr>
        <w:pStyle w:val="Heading2"/>
      </w:pPr>
      <w:r>
        <w:t xml:space="preserve">4.3 Inventory Template</w:t>
      </w:r>
    </w:p>
    <w:p>
      <w:pPr>
        <w:pStyle w:val="BlockText"/>
      </w:pPr>
      <w:r>
        <w:t xml:space="preserve">[FILLABLE] Complete the following inventory for all components within the</w:t>
      </w:r>
      <w:r>
        <w:t xml:space="preserve"> </w:t>
      </w:r>
      <w:r>
        <w:t xml:space="preserve">authorization boundary:</w:t>
      </w:r>
    </w:p>
    <w:tbl>
      <w:tblPr>
        <w:tblStyle w:val="Table"/>
        <w:tblW w:type="pct" w:w="5000"/>
        <w:tblLayout w:type="fixed"/>
        <w:tblLook w:firstRow="1" w:lastRow="0" w:firstColumn="0" w:lastColumn="0" w:noHBand="0" w:noVBand="0" w:val="0020"/>
      </w:tblPr>
      <w:tblGrid>
        <w:gridCol w:w="1354"/>
        <w:gridCol w:w="1667"/>
        <w:gridCol w:w="625"/>
        <w:gridCol w:w="1042"/>
        <w:gridCol w:w="729"/>
        <w:gridCol w:w="937"/>
        <w:gridCol w:w="1563"/>
      </w:tblGrid>
      <w:tr>
        <w:trPr>
          <w:tblHeader w:val="on"/>
        </w:trPr>
        <w:tc>
          <w:tcPr/>
          <w:p>
            <w:pPr>
              <w:pStyle w:val="Compact"/>
            </w:pPr>
            <w:r>
              <w:t xml:space="preserve">Component ID</w:t>
            </w:r>
          </w:p>
        </w:tc>
        <w:tc>
          <w:tcPr/>
          <w:p>
            <w:pPr>
              <w:pStyle w:val="Compact"/>
            </w:pPr>
            <w:r>
              <w:t xml:space="preserve">Component Name</w:t>
            </w:r>
          </w:p>
        </w:tc>
        <w:tc>
          <w:tcPr/>
          <w:p>
            <w:pPr>
              <w:pStyle w:val="Compact"/>
            </w:pPr>
            <w:r>
              <w:t xml:space="preserve">Type</w:t>
            </w:r>
          </w:p>
        </w:tc>
        <w:tc>
          <w:tcPr/>
          <w:p>
            <w:pPr>
              <w:pStyle w:val="Compact"/>
            </w:pPr>
            <w:r>
              <w:t xml:space="preserve">Location</w:t>
            </w:r>
          </w:p>
        </w:tc>
        <w:tc>
          <w:tcPr/>
          <w:p>
            <w:pPr>
              <w:pStyle w:val="Compact"/>
            </w:pPr>
            <w:r>
              <w:t xml:space="preserve">Owner</w:t>
            </w:r>
          </w:p>
        </w:tc>
        <w:tc>
          <w:tcPr/>
          <w:p>
            <w:pPr>
              <w:pStyle w:val="Compact"/>
            </w:pPr>
            <w:r>
              <w:t xml:space="preserve">SBOM ID</w:t>
            </w:r>
          </w:p>
        </w:tc>
        <w:tc>
          <w:tcPr/>
          <w:p>
            <w:pPr>
              <w:pStyle w:val="Compact"/>
            </w:pPr>
            <w:r>
              <w:t xml:space="preserve">Last Reviewed</w:t>
            </w:r>
          </w:p>
        </w:tc>
      </w:tr>
      <w:tr>
        <w:tc>
          <w:tcPr/>
          <w:p>
            <w:pPr>
              <w:pStyle w:val="Compact"/>
            </w:pPr>
            <w:r>
              <w:t xml:space="preserve">[ID]</w:t>
            </w:r>
          </w:p>
        </w:tc>
        <w:tc>
          <w:tcPr/>
          <w:p>
            <w:pPr>
              <w:pStyle w:val="Compact"/>
            </w:pPr>
            <w:r>
              <w:t xml:space="preserve">[Name]</w:t>
            </w:r>
          </w:p>
        </w:tc>
        <w:tc>
          <w:tcPr/>
          <w:p>
            <w:pPr>
              <w:pStyle w:val="Compact"/>
            </w:pPr>
            <w:r>
              <w:t xml:space="preserve">[Server/Container/SaaS/Network]</w:t>
            </w:r>
          </w:p>
        </w:tc>
        <w:tc>
          <w:tcPr/>
          <w:p>
            <w:pPr>
              <w:pStyle w:val="Compact"/>
            </w:pPr>
            <w:r>
              <w:t xml:space="preserve">[Azure Region]</w:t>
            </w:r>
          </w:p>
        </w:tc>
        <w:tc>
          <w:tcPr/>
          <w:p>
            <w:pPr>
              <w:pStyle w:val="Compact"/>
            </w:pPr>
            <w:r>
              <w:t xml:space="preserve">[Team]</w:t>
            </w:r>
          </w:p>
        </w:tc>
        <w:tc>
          <w:tcPr/>
          <w:p>
            <w:pPr>
              <w:pStyle w:val="Compact"/>
            </w:pPr>
            <w:r>
              <w:t xml:space="preserve">[SHA256]</w:t>
            </w:r>
          </w:p>
        </w:tc>
        <w:tc>
          <w:tcPr/>
          <w:p>
            <w:pPr>
              <w:pStyle w:val="Compact"/>
            </w:pPr>
            <w:r>
              <w:t xml:space="preserve">[Date]</w:t>
            </w:r>
          </w:p>
        </w:tc>
      </w:tr>
    </w:tbl>
    <w:p>
      <w:r>
        <w:pict>
          <v:rect style="width:0;height:1.5pt" o:hralign="center" o:hrstd="t" o:hr="t"/>
        </w:pict>
      </w:r>
    </w:p>
    <w:bookmarkEnd w:id="26"/>
    <w:bookmarkEnd w:id="27"/>
    <w:bookmarkStart w:id="32" w:name="risk-management-strategy-pm-9"/>
    <w:p>
      <w:pPr>
        <w:pStyle w:val="Heading1"/>
      </w:pPr>
      <w:r>
        <w:t xml:space="preserve">5. Risk Management Strategy (PM-9)</w:t>
      </w:r>
    </w:p>
    <w:bookmarkStart w:id="28" w:name="risk-management-framework"/>
    <w:p>
      <w:pPr>
        <w:pStyle w:val="Heading2"/>
      </w:pPr>
      <w:r>
        <w:t xml:space="preserve">5.1 Risk Management Framework</w:t>
      </w:r>
    </w:p>
    <w:p>
      <w:pPr>
        <w:pStyle w:val="FirstParagraph"/>
      </w:pPr>
      <w:r>
        <w:t xml:space="preserve">Agency’s risk management strategy follows NIST SP 800-39 (Managing Information</w:t>
      </w:r>
      <w:r>
        <w:t xml:space="preserve"> </w:t>
      </w:r>
      <w:r>
        <w:t xml:space="preserve">Security Risk) at three tiers:</w:t>
      </w:r>
    </w:p>
    <w:p>
      <w:pPr>
        <w:pStyle w:val="Compact"/>
        <w:numPr>
          <w:ilvl w:val="0"/>
          <w:numId w:val="1007"/>
        </w:numPr>
      </w:pPr>
      <w:r>
        <w:rPr>
          <w:b/>
          <w:bCs/>
        </w:rPr>
        <w:t xml:space="preserve">Tier 1 (Organization):</w:t>
      </w:r>
      <w:r>
        <w:t xml:space="preserve"> </w:t>
      </w:r>
      <w:r>
        <w:t xml:space="preserve">Risk framing — risk tolerance, risk assumptions,</w:t>
      </w:r>
      <w:r>
        <w:t xml:space="preserve"> </w:t>
      </w:r>
      <w:r>
        <w:t xml:space="preserve">risk constraints, priorities, and trade-offs defined by Agency leadership</w:t>
      </w:r>
    </w:p>
    <w:p>
      <w:pPr>
        <w:pStyle w:val="Compact"/>
        <w:numPr>
          <w:ilvl w:val="0"/>
          <w:numId w:val="1007"/>
        </w:numPr>
      </w:pPr>
      <w:r>
        <w:rPr>
          <w:b/>
          <w:bCs/>
        </w:rPr>
        <w:t xml:space="preserve">Tier 2 (Mission/Process):</w:t>
      </w:r>
      <w:r>
        <w:t xml:space="preserve"> </w:t>
      </w:r>
      <w:r>
        <w:t xml:space="preserve">Risk assessment — enterprise-level risk</w:t>
      </w:r>
      <w:r>
        <w:t xml:space="preserve"> </w:t>
      </w:r>
      <w:r>
        <w:t xml:space="preserve">register maintained by the CISO</w:t>
      </w:r>
    </w:p>
    <w:p>
      <w:pPr>
        <w:pStyle w:val="Compact"/>
        <w:numPr>
          <w:ilvl w:val="0"/>
          <w:numId w:val="1007"/>
        </w:numPr>
      </w:pPr>
      <w:r>
        <w:rPr>
          <w:b/>
          <w:bCs/>
        </w:rPr>
        <w:t xml:space="preserve">Tier 3 (System):</w:t>
      </w:r>
      <w:r>
        <w:t xml:space="preserve"> </w:t>
      </w:r>
      <w:r>
        <w:t xml:space="preserve">Risk response — system-level POA&amp;M, continuous</w:t>
      </w:r>
      <w:r>
        <w:t xml:space="preserve"> </w:t>
      </w:r>
      <w:r>
        <w:t xml:space="preserve">monitoring, authorization decisions</w:t>
      </w:r>
    </w:p>
    <w:bookmarkEnd w:id="28"/>
    <w:bookmarkStart w:id="29" w:name="risk-appetite-statement"/>
    <w:p>
      <w:pPr>
        <w:pStyle w:val="Heading2"/>
      </w:pPr>
      <w:r>
        <w:t xml:space="preserve">5.2 Risk Appetite Statement</w:t>
      </w:r>
    </w:p>
    <w:p>
      <w:pPr>
        <w:pStyle w:val="BlockText"/>
      </w:pPr>
      <w:r>
        <w:t xml:space="preserve">[FILLABLE — requires CISO and AO sign-off]</w:t>
      </w:r>
    </w:p>
    <w:p>
      <w:pPr>
        <w:pStyle w:val="BlockText"/>
      </w:pPr>
      <w:r>
        <w:t xml:space="preserve">Agency accepts residual risk at the Moderate impact level for systems that</w:t>
      </w:r>
      <w:r>
        <w:t xml:space="preserve"> </w:t>
      </w:r>
      <w:r>
        <w:t xml:space="preserve">process citizen benefit data, consistent with FIPS 199 categorization.</w:t>
      </w:r>
      <w:r>
        <w:t xml:space="preserve"> </w:t>
      </w:r>
      <w:r>
        <w:t xml:space="preserve">The organization’s risk tolerance for the following categories is:</w:t>
      </w:r>
    </w:p>
    <w:tbl>
      <w:tblPr>
        <w:tblStyle w:val="Table"/>
        <w:tblW w:type="pct" w:w="5000"/>
        <w:tblLayout w:type="fixed"/>
        <w:tblLook w:firstRow="1" w:lastRow="0" w:firstColumn="0" w:lastColumn="0" w:noHBand="0" w:noVBand="0" w:val="0020"/>
      </w:tblPr>
      <w:tblGrid>
        <w:gridCol w:w="3210"/>
        <w:gridCol w:w="2354"/>
        <w:gridCol w:w="2354"/>
      </w:tblGrid>
      <w:tr>
        <w:trPr>
          <w:tblHeader w:val="on"/>
        </w:trPr>
        <w:tc>
          <w:tcPr/>
          <w:p>
            <w:pPr>
              <w:pStyle w:val="Compact"/>
            </w:pPr>
            <w:r>
              <w:t xml:space="preserve">Risk Category</w:t>
            </w:r>
          </w:p>
        </w:tc>
        <w:tc>
          <w:tcPr/>
          <w:p>
            <w:pPr>
              <w:pStyle w:val="Compact"/>
            </w:pPr>
            <w:r>
              <w:t xml:space="preserve">Tolerance</w:t>
            </w:r>
          </w:p>
        </w:tc>
        <w:tc>
          <w:tcPr/>
          <w:p>
            <w:pPr>
              <w:pStyle w:val="Compact"/>
            </w:pPr>
            <w:r>
              <w:t xml:space="preserve">Rationale</w:t>
            </w:r>
          </w:p>
        </w:tc>
      </w:tr>
      <w:tr>
        <w:tc>
          <w:tcPr/>
          <w:p>
            <w:pPr>
              <w:pStyle w:val="Compact"/>
            </w:pPr>
            <w:r>
              <w:t xml:space="preserve">Availability</w:t>
            </w:r>
          </w:p>
        </w:tc>
        <w:tc>
          <w:tcPr/>
          <w:p>
            <w:pPr>
              <w:pStyle w:val="Compact"/>
            </w:pPr>
            <w:r>
              <w:t xml:space="preserve">Low (RTO ≤ 4h for critical)</w:t>
            </w:r>
          </w:p>
        </w:tc>
        <w:tc>
          <w:tcPr/>
          <w:p>
            <w:pPr>
              <w:pStyle w:val="Compact"/>
            </w:pPr>
            <w:r>
              <w:t xml:space="preserve">Benefit payment continuity</w:t>
            </w:r>
          </w:p>
        </w:tc>
      </w:tr>
      <w:tr>
        <w:tc>
          <w:tcPr/>
          <w:p>
            <w:pPr>
              <w:pStyle w:val="Compact"/>
            </w:pPr>
            <w:r>
              <w:t xml:space="preserve">Confidentiality — PII</w:t>
            </w:r>
          </w:p>
        </w:tc>
        <w:tc>
          <w:tcPr/>
          <w:p>
            <w:pPr>
              <w:pStyle w:val="Compact"/>
            </w:pPr>
            <w:r>
              <w:t xml:space="preserve">Very Low</w:t>
            </w:r>
          </w:p>
        </w:tc>
        <w:tc>
          <w:tcPr/>
          <w:p>
            <w:pPr>
              <w:pStyle w:val="Compact"/>
            </w:pPr>
            <w:r>
              <w:t xml:space="preserve">Citizen trust; statutory obligation</w:t>
            </w:r>
          </w:p>
        </w:tc>
      </w:tr>
      <w:tr>
        <w:tc>
          <w:tcPr/>
          <w:p>
            <w:pPr>
              <w:pStyle w:val="Compact"/>
            </w:pPr>
            <w:r>
              <w:t xml:space="preserve">Confidentiality — Internal</w:t>
            </w:r>
          </w:p>
        </w:tc>
        <w:tc>
          <w:tcPr/>
          <w:p>
            <w:pPr>
              <w:pStyle w:val="Compact"/>
            </w:pPr>
            <w:r>
              <w:t xml:space="preserve">Moderate</w:t>
            </w:r>
          </w:p>
        </w:tc>
        <w:tc>
          <w:tcPr/>
          <w:p>
            <w:pPr>
              <w:pStyle w:val="Compact"/>
            </w:pPr>
            <w:r>
              <w:t xml:space="preserve">Business operations</w:t>
            </w:r>
          </w:p>
        </w:tc>
      </w:tr>
      <w:tr>
        <w:tc>
          <w:tcPr/>
          <w:p>
            <w:pPr>
              <w:pStyle w:val="Compact"/>
            </w:pPr>
            <w:r>
              <w:t xml:space="preserve">Integrity</w:t>
            </w:r>
          </w:p>
        </w:tc>
        <w:tc>
          <w:tcPr/>
          <w:p>
            <w:pPr>
              <w:pStyle w:val="Compact"/>
            </w:pPr>
            <w:r>
              <w:t xml:space="preserve">Low</w:t>
            </w:r>
          </w:p>
        </w:tc>
        <w:tc>
          <w:tcPr/>
          <w:p>
            <w:pPr>
              <w:pStyle w:val="Compact"/>
            </w:pPr>
            <w:r>
              <w:t xml:space="preserve">Payment accuracy; audit trail</w:t>
            </w:r>
          </w:p>
        </w:tc>
      </w:tr>
      <w:tr>
        <w:tc>
          <w:tcPr/>
          <w:p>
            <w:pPr>
              <w:pStyle w:val="Compact"/>
            </w:pPr>
            <w:r>
              <w:t xml:space="preserve">Supply Chain</w:t>
            </w:r>
          </w:p>
        </w:tc>
        <w:tc>
          <w:tcPr/>
          <w:p>
            <w:pPr>
              <w:pStyle w:val="Compact"/>
            </w:pPr>
            <w:r>
              <w:t xml:space="preserve">Low</w:t>
            </w:r>
          </w:p>
        </w:tc>
        <w:tc>
          <w:tcPr/>
          <w:p>
            <w:pPr>
              <w:pStyle w:val="Compact"/>
            </w:pPr>
            <w:r>
              <w:t xml:space="preserve">BOD 26-04 and EO 14028 mandate</w:t>
            </w:r>
          </w:p>
        </w:tc>
      </w:tr>
    </w:tbl>
    <w:bookmarkEnd w:id="29"/>
    <w:bookmarkStart w:id="30" w:name="risk-register-format"/>
    <w:p>
      <w:pPr>
        <w:pStyle w:val="Heading2"/>
      </w:pPr>
      <w:r>
        <w:t xml:space="preserve">5.3 Risk Register Format</w:t>
      </w:r>
    </w:p>
    <w:p>
      <w:pPr>
        <w:pStyle w:val="FirstParagraph"/>
      </w:pPr>
      <w:r>
        <w:t xml:space="preserve">The Agency enterprise risk register is maintained in the POA&amp;M tracker and</w:t>
      </w:r>
      <w:r>
        <w:t xml:space="preserve"> </w:t>
      </w:r>
      <w:r>
        <w:t xml:space="preserve">reviewed monthly by the ISSO, quarterly by the CISO.</w:t>
      </w:r>
    </w:p>
    <w:tbl>
      <w:tblPr>
        <w:tblStyle w:val="Table"/>
        <w:tblW w:type="pct" w:w="5000"/>
        <w:tblLayout w:type="fixed"/>
        <w:tblLook w:firstRow="1" w:lastRow="0" w:firstColumn="0" w:lastColumn="0" w:noHBand="0" w:noVBand="0" w:val="0020"/>
      </w:tblPr>
      <w:tblGrid>
        <w:gridCol w:w="925"/>
        <w:gridCol w:w="925"/>
        <w:gridCol w:w="1337"/>
        <w:gridCol w:w="1131"/>
        <w:gridCol w:w="822"/>
        <w:gridCol w:w="720"/>
        <w:gridCol w:w="720"/>
        <w:gridCol w:w="822"/>
        <w:gridCol w:w="514"/>
      </w:tblGrid>
      <w:tr>
        <w:trPr>
          <w:tblHeader w:val="on"/>
        </w:trPr>
        <w:tc>
          <w:tcPr/>
          <w:p>
            <w:pPr>
              <w:pStyle w:val="Compact"/>
            </w:pPr>
            <w:r>
              <w:t xml:space="preserve">Risk ID</w:t>
            </w:r>
          </w:p>
        </w:tc>
        <w:tc>
          <w:tcPr/>
          <w:p>
            <w:pPr>
              <w:pStyle w:val="Compact"/>
            </w:pPr>
            <w:r>
              <w:t xml:space="preserve">Control</w:t>
            </w:r>
          </w:p>
        </w:tc>
        <w:tc>
          <w:tcPr/>
          <w:p>
            <w:pPr>
              <w:pStyle w:val="Compact"/>
            </w:pPr>
            <w:r>
              <w:t xml:space="preserve">Description</w:t>
            </w:r>
          </w:p>
        </w:tc>
        <w:tc>
          <w:tcPr/>
          <w:p>
            <w:pPr>
              <w:pStyle w:val="Compact"/>
            </w:pPr>
            <w:r>
              <w:t xml:space="preserve">Likelihood</w:t>
            </w:r>
          </w:p>
        </w:tc>
        <w:tc>
          <w:tcPr/>
          <w:p>
            <w:pPr>
              <w:pStyle w:val="Compact"/>
            </w:pPr>
            <w:r>
              <w:t xml:space="preserve">Impact</w:t>
            </w:r>
          </w:p>
        </w:tc>
        <w:tc>
          <w:tcPr/>
          <w:p>
            <w:pPr>
              <w:pStyle w:val="Compact"/>
            </w:pPr>
            <w:r>
              <w:t xml:space="preserve">Score</w:t>
            </w:r>
          </w:p>
        </w:tc>
        <w:tc>
          <w:tcPr/>
          <w:p>
            <w:pPr>
              <w:pStyle w:val="Compact"/>
            </w:pPr>
            <w:r>
              <w:t xml:space="preserve">Owner</w:t>
            </w:r>
          </w:p>
        </w:tc>
        <w:tc>
          <w:tcPr/>
          <w:p>
            <w:pPr>
              <w:pStyle w:val="Compact"/>
            </w:pPr>
            <w:r>
              <w:t xml:space="preserve">Status</w:t>
            </w:r>
          </w:p>
        </w:tc>
        <w:tc>
          <w:tcPr/>
          <w:p>
            <w:pPr>
              <w:pStyle w:val="Compact"/>
            </w:pPr>
            <w:r>
              <w:t xml:space="preserve">Due</w:t>
            </w:r>
          </w:p>
        </w:tc>
      </w:tr>
      <w:tr>
        <w:tc>
          <w:tcPr/>
          <w:p>
            <w:pPr>
              <w:pStyle w:val="Compact"/>
            </w:pPr>
            <w:r>
              <w:t xml:space="preserve">[R-NNN]</w:t>
            </w:r>
          </w:p>
        </w:tc>
        <w:tc>
          <w:tcPr/>
          <w:p>
            <w:pPr>
              <w:pStyle w:val="Compact"/>
            </w:pPr>
            <w:r>
              <w:t xml:space="preserve">[ID]</w:t>
            </w:r>
          </w:p>
        </w:tc>
        <w:tc>
          <w:tcPr/>
          <w:p>
            <w:pPr>
              <w:pStyle w:val="Compact"/>
            </w:pPr>
            <w:r>
              <w:t xml:space="preserve">[Description]</w:t>
            </w:r>
          </w:p>
        </w:tc>
        <w:tc>
          <w:tcPr/>
          <w:p>
            <w:pPr>
              <w:pStyle w:val="Compact"/>
            </w:pPr>
            <w:r>
              <w:t xml:space="preserve">[1-5]</w:t>
            </w:r>
          </w:p>
        </w:tc>
        <w:tc>
          <w:tcPr/>
          <w:p>
            <w:pPr>
              <w:pStyle w:val="Compact"/>
            </w:pPr>
            <w:r>
              <w:t xml:space="preserve">[1-5]</w:t>
            </w:r>
          </w:p>
        </w:tc>
        <w:tc>
          <w:tcPr/>
          <w:p>
            <w:pPr>
              <w:pStyle w:val="Compact"/>
            </w:pPr>
            <w:r>
              <w:t xml:space="preserve">[L×I]</w:t>
            </w:r>
          </w:p>
        </w:tc>
        <w:tc>
          <w:tcPr/>
          <w:p>
            <w:pPr>
              <w:pStyle w:val="Compact"/>
            </w:pPr>
            <w:r>
              <w:t xml:space="preserve">[Name]</w:t>
            </w:r>
          </w:p>
        </w:tc>
        <w:tc>
          <w:tcPr/>
          <w:p>
            <w:pPr>
              <w:pStyle w:val="Compact"/>
            </w:pPr>
            <w:r>
              <w:t xml:space="preserve">Open/Closed</w:t>
            </w:r>
          </w:p>
        </w:tc>
        <w:tc>
          <w:tcPr/>
          <w:p>
            <w:pPr>
              <w:pStyle w:val="Compact"/>
            </w:pPr>
            <w:r>
              <w:t xml:space="preserve">[Date]</w:t>
            </w:r>
          </w:p>
        </w:tc>
      </w:tr>
    </w:tbl>
    <w:p>
      <w:pPr>
        <w:pStyle w:val="BodyText"/>
      </w:pPr>
      <w:r>
        <w:rPr>
          <w:b/>
          <w:bCs/>
        </w:rPr>
        <w:t xml:space="preserve">Scoring matrix:</w:t>
      </w:r>
      <w:r>
        <w:t xml:space="preserve"> </w:t>
      </w:r>
      <w:r>
        <w:t xml:space="preserve">Score = Likelihood (1=Rare, 5=Certain) × Impact (1=Negligible, 5=Catastrophic)</w:t>
      </w:r>
    </w:p>
    <w:p>
      <w:pPr>
        <w:pStyle w:val="Compact"/>
        <w:numPr>
          <w:ilvl w:val="0"/>
          <w:numId w:val="1008"/>
        </w:numPr>
      </w:pPr>
      <w:r>
        <w:t xml:space="preserve">Score 1–4: Accept (document and monitor)</w:t>
      </w:r>
    </w:p>
    <w:p>
      <w:pPr>
        <w:pStyle w:val="Compact"/>
        <w:numPr>
          <w:ilvl w:val="0"/>
          <w:numId w:val="1008"/>
        </w:numPr>
      </w:pPr>
      <w:r>
        <w:t xml:space="preserve">Score 5–9: Mitigate (POA&amp;M required within 90 days)</w:t>
      </w:r>
    </w:p>
    <w:p>
      <w:pPr>
        <w:pStyle w:val="Compact"/>
        <w:numPr>
          <w:ilvl w:val="0"/>
          <w:numId w:val="1008"/>
        </w:numPr>
      </w:pPr>
      <w:r>
        <w:t xml:space="preserve">Score 10–15: Mitigate urgently (POA&amp;M required within 30 days)</w:t>
      </w:r>
    </w:p>
    <w:p>
      <w:pPr>
        <w:pStyle w:val="Compact"/>
        <w:numPr>
          <w:ilvl w:val="0"/>
          <w:numId w:val="1008"/>
        </w:numPr>
      </w:pPr>
      <w:r>
        <w:t xml:space="preserve">Score 16–25: Escalate to AO (POA&amp;M required within 15 days)</w:t>
      </w:r>
    </w:p>
    <w:bookmarkEnd w:id="30"/>
    <w:bookmarkStart w:id="31" w:name="risk-response-options"/>
    <w:p>
      <w:pPr>
        <w:pStyle w:val="Heading2"/>
      </w:pPr>
      <w:r>
        <w:t xml:space="preserve">5.4 Risk Response Options</w:t>
      </w:r>
    </w:p>
    <w:p>
      <w:pPr>
        <w:pStyle w:val="FirstParagraph"/>
      </w:pPr>
      <w:r>
        <w:t xml:space="preserve">For each identified risk the ISSO documents the chosen response:</w:t>
      </w:r>
    </w:p>
    <w:p>
      <w:pPr>
        <w:pStyle w:val="Compact"/>
        <w:numPr>
          <w:ilvl w:val="0"/>
          <w:numId w:val="1009"/>
        </w:numPr>
      </w:pPr>
      <w:r>
        <w:rPr>
          <w:b/>
          <w:bCs/>
        </w:rPr>
        <w:t xml:space="preserve">Mitigate:</w:t>
      </w:r>
      <w:r>
        <w:t xml:space="preserve"> </w:t>
      </w:r>
      <w:r>
        <w:t xml:space="preserve">Implement or strengthen a control to reduce likelihood/impact</w:t>
      </w:r>
    </w:p>
    <w:p>
      <w:pPr>
        <w:pStyle w:val="Compact"/>
        <w:numPr>
          <w:ilvl w:val="0"/>
          <w:numId w:val="1009"/>
        </w:numPr>
      </w:pPr>
      <w:r>
        <w:rPr>
          <w:b/>
          <w:bCs/>
        </w:rPr>
        <w:t xml:space="preserve">Transfer:</w:t>
      </w:r>
      <w:r>
        <w:t xml:space="preserve"> </w:t>
      </w:r>
      <w:r>
        <w:t xml:space="preserve">Contractually shift risk to a cloud service provider or vendor</w:t>
      </w:r>
    </w:p>
    <w:p>
      <w:pPr>
        <w:pStyle w:val="Compact"/>
        <w:numPr>
          <w:ilvl w:val="0"/>
          <w:numId w:val="1009"/>
        </w:numPr>
      </w:pPr>
      <w:r>
        <w:rPr>
          <w:b/>
          <w:bCs/>
        </w:rPr>
        <w:t xml:space="preserve">Accept:</w:t>
      </w:r>
      <w:r>
        <w:t xml:space="preserve"> </w:t>
      </w:r>
      <w:r>
        <w:t xml:space="preserve">Document acceptance with AO concurrence (time-bounded for score &gt; 4)</w:t>
      </w:r>
    </w:p>
    <w:p>
      <w:pPr>
        <w:pStyle w:val="Compact"/>
        <w:numPr>
          <w:ilvl w:val="0"/>
          <w:numId w:val="1009"/>
        </w:numPr>
      </w:pPr>
      <w:r>
        <w:rPr>
          <w:b/>
          <w:bCs/>
        </w:rPr>
        <w:t xml:space="preserve">Avoid:</w:t>
      </w:r>
      <w:r>
        <w:t xml:space="preserve"> </w:t>
      </w:r>
      <w:r>
        <w:t xml:space="preserve">Remove the system component or functionality that generates the risk</w:t>
      </w:r>
    </w:p>
    <w:p>
      <w:r>
        <w:pict>
          <v:rect style="width:0;height:1.5pt" o:hralign="center" o:hrstd="t" o:hr="t"/>
        </w:pict>
      </w:r>
    </w:p>
    <w:bookmarkEnd w:id="31"/>
    <w:bookmarkEnd w:id="32"/>
    <w:bookmarkStart w:id="37" w:name="Xe72d98f2c6290eae65662920ae3e1fff22106c5"/>
    <w:p>
      <w:pPr>
        <w:pStyle w:val="Heading1"/>
      </w:pPr>
      <w:r>
        <w:t xml:space="preserve">6. Testing, Training, and Monitoring Plan (PM-14)</w:t>
      </w:r>
    </w:p>
    <w:bookmarkStart w:id="33" w:name="ttm-framework"/>
    <w:p>
      <w:pPr>
        <w:pStyle w:val="Heading2"/>
      </w:pPr>
      <w:r>
        <w:t xml:space="preserve">6.1 T&amp;T&amp;M Framework</w:t>
      </w:r>
    </w:p>
    <w:p>
      <w:pPr>
        <w:pStyle w:val="FirstParagraph"/>
      </w:pPr>
      <w:r>
        <w:t xml:space="preserve">PM-14 requires the organization to implement a security testing, training, and</w:t>
      </w:r>
      <w:r>
        <w:t xml:space="preserve"> </w:t>
      </w:r>
      <w:r>
        <w:t xml:space="preserve">monitoring program with defined schedules and accountability.</w:t>
      </w:r>
    </w:p>
    <w:bookmarkEnd w:id="33"/>
    <w:bookmarkStart w:id="34" w:name="testing-schedule"/>
    <w:p>
      <w:pPr>
        <w:pStyle w:val="Heading2"/>
      </w:pPr>
      <w:r>
        <w:t xml:space="preserve">6.2 Testing Schedule</w:t>
      </w:r>
    </w:p>
    <w:tbl>
      <w:tblPr>
        <w:tblStyle w:val="Table"/>
        <w:tblW w:type="pct" w:w="5000"/>
        <w:tblLayout w:type="fixed"/>
        <w:tblLook w:firstRow="1" w:lastRow="0" w:firstColumn="0" w:lastColumn="0" w:noHBand="0" w:noVBand="0" w:val="0020"/>
      </w:tblPr>
      <w:tblGrid>
        <w:gridCol w:w="1643"/>
        <w:gridCol w:w="1643"/>
        <w:gridCol w:w="1942"/>
        <w:gridCol w:w="2689"/>
      </w:tblGrid>
      <w:tr>
        <w:trPr>
          <w:tblHeader w:val="on"/>
        </w:trPr>
        <w:tc>
          <w:tcPr/>
          <w:p>
            <w:pPr>
              <w:pStyle w:val="Compact"/>
            </w:pPr>
            <w:r>
              <w:t xml:space="preserve">Test Type</w:t>
            </w:r>
          </w:p>
        </w:tc>
        <w:tc>
          <w:tcPr/>
          <w:p>
            <w:pPr>
              <w:pStyle w:val="Compact"/>
            </w:pPr>
            <w:r>
              <w:t xml:space="preserve">Frequency</w:t>
            </w:r>
          </w:p>
        </w:tc>
        <w:tc>
          <w:tcPr/>
          <w:p>
            <w:pPr>
              <w:pStyle w:val="Compact"/>
            </w:pPr>
            <w:r>
              <w:t xml:space="preserve">Responsible</w:t>
            </w:r>
          </w:p>
        </w:tc>
        <w:tc>
          <w:tcPr/>
          <w:p>
            <w:pPr>
              <w:pStyle w:val="Compact"/>
            </w:pPr>
            <w:r>
              <w:t xml:space="preserve">Evidence Artifact</w:t>
            </w:r>
          </w:p>
        </w:tc>
      </w:tr>
      <w:tr>
        <w:tc>
          <w:tcPr/>
          <w:p>
            <w:pPr>
              <w:pStyle w:val="Compact"/>
            </w:pPr>
            <w:r>
              <w:t xml:space="preserve">Annual security assessment (3PAO)</w:t>
            </w:r>
          </w:p>
        </w:tc>
        <w:tc>
          <w:tcPr/>
          <w:p>
            <w:pPr>
              <w:pStyle w:val="Compact"/>
            </w:pPr>
            <w:r>
              <w:t xml:space="preserve">Annual</w:t>
            </w:r>
          </w:p>
        </w:tc>
        <w:tc>
          <w:tcPr/>
          <w:p>
            <w:pPr>
              <w:pStyle w:val="Compact"/>
            </w:pPr>
            <w:r>
              <w:t xml:space="preserve">AO / CISO</w:t>
            </w:r>
          </w:p>
        </w:tc>
        <w:tc>
          <w:tcPr/>
          <w:p>
            <w:pPr>
              <w:pStyle w:val="Compact"/>
            </w:pPr>
            <w:r>
              <w:t xml:space="preserve">Assessment report</w:t>
            </w:r>
          </w:p>
        </w:tc>
      </w:tr>
      <w:tr>
        <w:tc>
          <w:tcPr/>
          <w:p>
            <w:pPr>
              <w:pStyle w:val="Compact"/>
            </w:pPr>
            <w:r>
              <w:t xml:space="preserve">Penetration test</w:t>
            </w:r>
          </w:p>
        </w:tc>
        <w:tc>
          <w:tcPr/>
          <w:p>
            <w:pPr>
              <w:pStyle w:val="Compact"/>
            </w:pPr>
            <w:r>
              <w:t xml:space="preserve">Annual</w:t>
            </w:r>
          </w:p>
        </w:tc>
        <w:tc>
          <w:tcPr/>
          <w:p>
            <w:pPr>
              <w:pStyle w:val="Compact"/>
            </w:pPr>
            <w:r>
              <w:t xml:space="preserve">3PAO</w:t>
            </w:r>
          </w:p>
        </w:tc>
        <w:tc>
          <w:tcPr/>
          <w:p>
            <w:pPr>
              <w:pStyle w:val="Compact"/>
            </w:pPr>
            <w:r>
              <w:t xml:space="preserve">Pen test report</w:t>
            </w:r>
          </w:p>
        </w:tc>
      </w:tr>
      <w:tr>
        <w:tc>
          <w:tcPr/>
          <w:p>
            <w:pPr>
              <w:pStyle w:val="Compact"/>
            </w:pPr>
            <w:r>
              <w:t xml:space="preserve">Tabletop incident response exercise</w:t>
            </w:r>
          </w:p>
        </w:tc>
        <w:tc>
          <w:tcPr/>
          <w:p>
            <w:pPr>
              <w:pStyle w:val="Compact"/>
            </w:pPr>
            <w:r>
              <w:t xml:space="preserve">Semi-annual</w:t>
            </w:r>
          </w:p>
        </w:tc>
        <w:tc>
          <w:tcPr/>
          <w:p>
            <w:pPr>
              <w:pStyle w:val="Compact"/>
            </w:pPr>
            <w:r>
              <w:t xml:space="preserve">ISSO / SOC</w:t>
            </w:r>
          </w:p>
        </w:tc>
        <w:tc>
          <w:tcPr/>
          <w:p>
            <w:pPr>
              <w:pStyle w:val="Compact"/>
            </w:pPr>
            <w:r>
              <w:t xml:space="preserve">Exercise after-action report</w:t>
            </w:r>
          </w:p>
        </w:tc>
      </w:tr>
      <w:tr>
        <w:tc>
          <w:tcPr/>
          <w:p>
            <w:pPr>
              <w:pStyle w:val="Compact"/>
            </w:pPr>
            <w:r>
              <w:t xml:space="preserve">Control spot-check (automated KSI monitoring)</w:t>
            </w:r>
          </w:p>
        </w:tc>
        <w:tc>
          <w:tcPr/>
          <w:p>
            <w:pPr>
              <w:pStyle w:val="Compact"/>
            </w:pPr>
            <w:r>
              <w:t xml:space="preserve">Continuous</w:t>
            </w:r>
          </w:p>
        </w:tc>
        <w:tc>
          <w:tcPr/>
          <w:p>
            <w:pPr>
              <w:pStyle w:val="Compact"/>
            </w:pPr>
            <w:r>
              <w:t xml:space="preserve">DevSecOps / SOC</w:t>
            </w:r>
          </w:p>
        </w:tc>
        <w:tc>
          <w:tcPr/>
          <w:p>
            <w:pPr>
              <w:pStyle w:val="Compact"/>
            </w:pPr>
            <w:r>
              <w:t xml:space="preserve">Sentinel dashboard</w:t>
            </w:r>
          </w:p>
        </w:tc>
      </w:tr>
      <w:tr>
        <w:tc>
          <w:tcPr/>
          <w:p>
            <w:pPr>
              <w:pStyle w:val="Compact"/>
            </w:pPr>
            <w:r>
              <w:t xml:space="preserve">Vulnerability scan (Defender VM)</w:t>
            </w:r>
          </w:p>
        </w:tc>
        <w:tc>
          <w:tcPr/>
          <w:p>
            <w:pPr>
              <w:pStyle w:val="Compact"/>
            </w:pPr>
            <w:r>
              <w:t xml:space="preserve">Continuous</w:t>
            </w:r>
          </w:p>
        </w:tc>
        <w:tc>
          <w:tcPr/>
          <w:p>
            <w:pPr>
              <w:pStyle w:val="Compact"/>
            </w:pPr>
            <w:r>
              <w:t xml:space="preserve">SOC</w:t>
            </w:r>
          </w:p>
        </w:tc>
        <w:tc>
          <w:tcPr/>
          <w:p>
            <w:pPr>
              <w:pStyle w:val="Compact"/>
            </w:pPr>
            <w:r>
              <w:t xml:space="preserve">Vol III Book 02 Defender VM output</w:t>
            </w:r>
          </w:p>
        </w:tc>
      </w:tr>
      <w:tr>
        <w:tc>
          <w:tcPr/>
          <w:p>
            <w:pPr>
              <w:pStyle w:val="Compact"/>
            </w:pPr>
            <w:r>
              <w:t xml:space="preserve">SBOM/VDR scan (Grype CI gate)</w:t>
            </w:r>
          </w:p>
        </w:tc>
        <w:tc>
          <w:tcPr/>
          <w:p>
            <w:pPr>
              <w:pStyle w:val="Compact"/>
            </w:pPr>
            <w:r>
              <w:t xml:space="preserve">Every PR merge</w:t>
            </w:r>
          </w:p>
        </w:tc>
        <w:tc>
          <w:tcPr/>
          <w:p>
            <w:pPr>
              <w:pStyle w:val="Compact"/>
            </w:pPr>
            <w:r>
              <w:t xml:space="preserve">DevSecOps</w:t>
            </w:r>
          </w:p>
        </w:tc>
        <w:tc>
          <w:tcPr/>
          <w:p>
            <w:pPr>
              <w:pStyle w:val="Compact"/>
            </w:pPr>
            <w:r>
              <w:t xml:space="preserve">Vol IV Book 02 CI logs</w:t>
            </w:r>
          </w:p>
        </w:tc>
      </w:tr>
      <w:tr>
        <w:tc>
          <w:tcPr/>
          <w:p>
            <w:pPr>
              <w:pStyle w:val="Compact"/>
            </w:pPr>
            <w:r>
              <w:t xml:space="preserve">Contingency plan test</w:t>
            </w:r>
          </w:p>
        </w:tc>
        <w:tc>
          <w:tcPr/>
          <w:p>
            <w:pPr>
              <w:pStyle w:val="Compact"/>
            </w:pPr>
            <w:r>
              <w:t xml:space="preserve">Annual</w:t>
            </w:r>
          </w:p>
        </w:tc>
        <w:tc>
          <w:tcPr/>
          <w:p>
            <w:pPr>
              <w:pStyle w:val="Compact"/>
            </w:pPr>
            <w:r>
              <w:t xml:space="preserve">ISSO</w:t>
            </w:r>
          </w:p>
        </w:tc>
        <w:tc>
          <w:tcPr/>
          <w:p>
            <w:pPr>
              <w:pStyle w:val="Compact"/>
            </w:pPr>
            <w:r>
              <w:t xml:space="preserve">CP-4 test results</w:t>
            </w:r>
          </w:p>
        </w:tc>
      </w:tr>
      <w:tr>
        <w:tc>
          <w:tcPr/>
          <w:p>
            <w:pPr>
              <w:pStyle w:val="Compact"/>
            </w:pPr>
            <w:r>
              <w:t xml:space="preserve">Configuration baseline review</w:t>
            </w:r>
          </w:p>
        </w:tc>
        <w:tc>
          <w:tcPr/>
          <w:p>
            <w:pPr>
              <w:pStyle w:val="Compact"/>
            </w:pPr>
            <w:r>
              <w:t xml:space="preserve">Quarterly</w:t>
            </w:r>
          </w:p>
        </w:tc>
        <w:tc>
          <w:tcPr/>
          <w:p>
            <w:pPr>
              <w:pStyle w:val="Compact"/>
            </w:pPr>
            <w:r>
              <w:t xml:space="preserve">DevSecOps</w:t>
            </w:r>
          </w:p>
        </w:tc>
        <w:tc>
          <w:tcPr/>
          <w:p>
            <w:pPr>
              <w:pStyle w:val="Compact"/>
            </w:pPr>
            <w:r>
              <w:t xml:space="preserve">GitHub baseline diff</w:t>
            </w:r>
          </w:p>
        </w:tc>
      </w:tr>
    </w:tbl>
    <w:bookmarkEnd w:id="34"/>
    <w:bookmarkStart w:id="35" w:name="training-requirements"/>
    <w:p>
      <w:pPr>
        <w:pStyle w:val="Heading2"/>
      </w:pPr>
      <w:r>
        <w:t xml:space="preserve">6.3 Training Requirements</w:t>
      </w:r>
    </w:p>
    <w:p>
      <w:pPr>
        <w:pStyle w:val="FirstParagraph"/>
      </w:pPr>
      <w:r>
        <w:t xml:space="preserve">All personnel with access to systems within the authorization boundary must</w:t>
      </w:r>
      <w:r>
        <w:t xml:space="preserve"> </w:t>
      </w:r>
      <w:r>
        <w:t xml:space="preserve">complete:</w:t>
      </w:r>
    </w:p>
    <w:tbl>
      <w:tblPr>
        <w:tblStyle w:val="Table"/>
        <w:tblW w:type="pct" w:w="5000"/>
        <w:tblLayout w:type="fixed"/>
        <w:tblLook w:firstRow="1" w:lastRow="0" w:firstColumn="0" w:lastColumn="0" w:noHBand="0" w:noVBand="0" w:val="0020"/>
      </w:tblPr>
      <w:tblGrid>
        <w:gridCol w:w="1685"/>
        <w:gridCol w:w="1853"/>
        <w:gridCol w:w="1685"/>
        <w:gridCol w:w="2696"/>
      </w:tblGrid>
      <w:tr>
        <w:trPr>
          <w:tblHeader w:val="on"/>
        </w:trPr>
        <w:tc>
          <w:tcPr/>
          <w:p>
            <w:pPr>
              <w:pStyle w:val="Compact"/>
            </w:pPr>
            <w:r>
              <w:t xml:space="preserve">Training</w:t>
            </w:r>
          </w:p>
        </w:tc>
        <w:tc>
          <w:tcPr/>
          <w:p>
            <w:pPr>
              <w:pStyle w:val="Compact"/>
            </w:pPr>
            <w:r>
              <w:t xml:space="preserve">Frequency</w:t>
            </w:r>
          </w:p>
        </w:tc>
        <w:tc>
          <w:tcPr/>
          <w:p>
            <w:pPr>
              <w:pStyle w:val="Compact"/>
            </w:pPr>
            <w:r>
              <w:t xml:space="preserve">Audience</w:t>
            </w:r>
          </w:p>
        </w:tc>
        <w:tc>
          <w:tcPr/>
          <w:p>
            <w:pPr>
              <w:pStyle w:val="Compact"/>
            </w:pPr>
            <w:r>
              <w:t xml:space="preserve">Tracking System</w:t>
            </w:r>
          </w:p>
        </w:tc>
      </w:tr>
      <w:tr>
        <w:tc>
          <w:tcPr/>
          <w:p>
            <w:pPr>
              <w:pStyle w:val="Compact"/>
            </w:pPr>
            <w:r>
              <w:t xml:space="preserve">Security awareness (role-based)</w:t>
            </w:r>
          </w:p>
        </w:tc>
        <w:tc>
          <w:tcPr/>
          <w:p>
            <w:pPr>
              <w:pStyle w:val="Compact"/>
            </w:pPr>
            <w:r>
              <w:t xml:space="preserve">Annual</w:t>
            </w:r>
          </w:p>
        </w:tc>
        <w:tc>
          <w:tcPr/>
          <w:p>
            <w:pPr>
              <w:pStyle w:val="Compact"/>
            </w:pPr>
            <w:r>
              <w:t xml:space="preserve">All users</w:t>
            </w:r>
          </w:p>
        </w:tc>
        <w:tc>
          <w:tcPr/>
          <w:p>
            <w:pPr>
              <w:pStyle w:val="Compact"/>
            </w:pPr>
            <w:r>
              <w:t xml:space="preserve">[LMS NAME]</w:t>
            </w:r>
          </w:p>
        </w:tc>
      </w:tr>
      <w:tr>
        <w:tc>
          <w:tcPr/>
          <w:p>
            <w:pPr>
              <w:pStyle w:val="Compact"/>
            </w:pPr>
            <w:r>
              <w:t xml:space="preserve">FedRAMP procedures</w:t>
            </w:r>
          </w:p>
        </w:tc>
        <w:tc>
          <w:tcPr/>
          <w:p>
            <w:pPr>
              <w:pStyle w:val="Compact"/>
            </w:pPr>
            <w:r>
              <w:t xml:space="preserve">Annual</w:t>
            </w:r>
          </w:p>
        </w:tc>
        <w:tc>
          <w:tcPr/>
          <w:p>
            <w:pPr>
              <w:pStyle w:val="Compact"/>
            </w:pPr>
            <w:r>
              <w:t xml:space="preserve">ISSO, security team</w:t>
            </w:r>
          </w:p>
        </w:tc>
        <w:tc>
          <w:tcPr/>
          <w:p>
            <w:pPr>
              <w:pStyle w:val="Compact"/>
            </w:pPr>
            <w:r>
              <w:t xml:space="preserve">[LMS NAME]</w:t>
            </w:r>
          </w:p>
        </w:tc>
      </w:tr>
      <w:tr>
        <w:tc>
          <w:tcPr/>
          <w:p>
            <w:pPr>
              <w:pStyle w:val="Compact"/>
            </w:pPr>
            <w:r>
              <w:t xml:space="preserve">Incident response procedures</w:t>
            </w:r>
          </w:p>
        </w:tc>
        <w:tc>
          <w:tcPr/>
          <w:p>
            <w:pPr>
              <w:pStyle w:val="Compact"/>
            </w:pPr>
            <w:r>
              <w:t xml:space="preserve">Semi-annual</w:t>
            </w:r>
          </w:p>
        </w:tc>
        <w:tc>
          <w:tcPr/>
          <w:p>
            <w:pPr>
              <w:pStyle w:val="Compact"/>
            </w:pPr>
            <w:r>
              <w:t xml:space="preserve">ISSO, SOC, DevSecOps</w:t>
            </w:r>
          </w:p>
        </w:tc>
        <w:tc>
          <w:tcPr/>
          <w:p>
            <w:pPr>
              <w:pStyle w:val="Compact"/>
            </w:pPr>
            <w:r>
              <w:t xml:space="preserve">Tabletop exercise roster</w:t>
            </w:r>
          </w:p>
        </w:tc>
      </w:tr>
      <w:tr>
        <w:tc>
          <w:tcPr/>
          <w:p>
            <w:pPr>
              <w:pStyle w:val="Compact"/>
            </w:pPr>
            <w:r>
              <w:t xml:space="preserve">SBOM/supply chain awareness</w:t>
            </w:r>
          </w:p>
        </w:tc>
        <w:tc>
          <w:tcPr/>
          <w:p>
            <w:pPr>
              <w:pStyle w:val="Compact"/>
            </w:pPr>
            <w:r>
              <w:t xml:space="preserve">Annual</w:t>
            </w:r>
          </w:p>
        </w:tc>
        <w:tc>
          <w:tcPr/>
          <w:p>
            <w:pPr>
              <w:pStyle w:val="Compact"/>
            </w:pPr>
            <w:r>
              <w:t xml:space="preserve">DevSecOps, procurement</w:t>
            </w:r>
          </w:p>
        </w:tc>
        <w:tc>
          <w:tcPr/>
          <w:p>
            <w:pPr>
              <w:pStyle w:val="Compact"/>
            </w:pPr>
            <w:r>
              <w:t xml:space="preserve">[LMS NAME]</w:t>
            </w:r>
          </w:p>
        </w:tc>
      </w:tr>
      <w:tr>
        <w:tc>
          <w:tcPr/>
          <w:p>
            <w:pPr>
              <w:pStyle w:val="Compact"/>
            </w:pPr>
            <w:r>
              <w:t xml:space="preserve">Privacy (PII handling)</w:t>
            </w:r>
          </w:p>
        </w:tc>
        <w:tc>
          <w:tcPr/>
          <w:p>
            <w:pPr>
              <w:pStyle w:val="Compact"/>
            </w:pPr>
            <w:r>
              <w:t xml:space="preserve">Annual</w:t>
            </w:r>
          </w:p>
        </w:tc>
        <w:tc>
          <w:tcPr/>
          <w:p>
            <w:pPr>
              <w:pStyle w:val="Compact"/>
            </w:pPr>
            <w:r>
              <w:t xml:space="preserve">All users with PII access</w:t>
            </w:r>
          </w:p>
        </w:tc>
        <w:tc>
          <w:tcPr/>
          <w:p>
            <w:pPr>
              <w:pStyle w:val="Compact"/>
            </w:pPr>
            <w:r>
              <w:t xml:space="preserve">[LMS NAME]</w:t>
            </w:r>
          </w:p>
        </w:tc>
      </w:tr>
    </w:tbl>
    <w:bookmarkEnd w:id="35"/>
    <w:bookmarkStart w:id="36" w:name="continuous-monitoring-program"/>
    <w:p>
      <w:pPr>
        <w:pStyle w:val="Heading2"/>
      </w:pPr>
      <w:r>
        <w:t xml:space="preserve">6.4 Continuous Monitoring Program</w:t>
      </w:r>
    </w:p>
    <w:p>
      <w:pPr>
        <w:pStyle w:val="FirstParagraph"/>
      </w:pPr>
      <w:r>
        <w:t xml:space="preserve">The continuous monitoring program for Agency’s FedRAMP 20x authorization is</w:t>
      </w:r>
      <w:r>
        <w:t xml:space="preserve"> </w:t>
      </w:r>
      <w:r>
        <w:t xml:space="preserve">operationalized through the Vol III Book 06 Sentinel XDR platform with the following</w:t>
      </w:r>
      <w:r>
        <w:t xml:space="preserve"> </w:t>
      </w:r>
      <w:r>
        <w:t xml:space="preserve">monitoring dimensions:</w:t>
      </w:r>
    </w:p>
    <w:tbl>
      <w:tblPr>
        <w:tblStyle w:val="Table"/>
        <w:tblW w:type="pct" w:w="5000"/>
        <w:tblLayout w:type="fixed"/>
        <w:tblLook w:firstRow="1" w:lastRow="0" w:firstColumn="0" w:lastColumn="0" w:noHBand="0" w:noVBand="0" w:val="0020"/>
      </w:tblPr>
      <w:tblGrid>
        <w:gridCol w:w="1584"/>
        <w:gridCol w:w="1584"/>
        <w:gridCol w:w="2592"/>
        <w:gridCol w:w="2160"/>
      </w:tblGrid>
      <w:tr>
        <w:trPr>
          <w:tblHeader w:val="on"/>
        </w:trPr>
        <w:tc>
          <w:tcPr/>
          <w:p>
            <w:pPr>
              <w:pStyle w:val="Compact"/>
            </w:pPr>
            <w:r>
              <w:t xml:space="preserve">Dimension</w:t>
            </w:r>
          </w:p>
        </w:tc>
        <w:tc>
          <w:tcPr/>
          <w:p>
            <w:pPr>
              <w:pStyle w:val="Compact"/>
            </w:pPr>
            <w:r>
              <w:t xml:space="preserve">KSI Theme</w:t>
            </w:r>
          </w:p>
        </w:tc>
        <w:tc>
          <w:tcPr/>
          <w:p>
            <w:pPr>
              <w:pStyle w:val="Compact"/>
            </w:pPr>
            <w:r>
              <w:t xml:space="preserve">Sentinel Workbook</w:t>
            </w:r>
          </w:p>
        </w:tc>
        <w:tc>
          <w:tcPr/>
          <w:p>
            <w:pPr>
              <w:pStyle w:val="Compact"/>
            </w:pPr>
            <w:r>
              <w:t xml:space="preserve">Alert Cadence</w:t>
            </w:r>
          </w:p>
        </w:tc>
      </w:tr>
      <w:tr>
        <w:tc>
          <w:tcPr/>
          <w:p>
            <w:pPr>
              <w:pStyle w:val="Compact"/>
            </w:pPr>
            <w:r>
              <w:t xml:space="preserve">Identity anomalies</w:t>
            </w:r>
          </w:p>
        </w:tc>
        <w:tc>
          <w:tcPr/>
          <w:p>
            <w:pPr>
              <w:pStyle w:val="Compact"/>
            </w:pPr>
            <w:r>
              <w:t xml:space="preserve">KSI-IAM</w:t>
            </w:r>
          </w:p>
        </w:tc>
        <w:tc>
          <w:tcPr/>
          <w:p>
            <w:pPr>
              <w:pStyle w:val="Compact"/>
            </w:pPr>
            <w:r>
              <w:t xml:space="preserve">Identity &amp; Access</w:t>
            </w:r>
          </w:p>
        </w:tc>
        <w:tc>
          <w:tcPr/>
          <w:p>
            <w:pPr>
              <w:pStyle w:val="Compact"/>
            </w:pPr>
            <w:r>
              <w:t xml:space="preserve">Real-time</w:t>
            </w:r>
          </w:p>
        </w:tc>
      </w:tr>
      <w:tr>
        <w:tc>
          <w:tcPr/>
          <w:p>
            <w:pPr>
              <w:pStyle w:val="Compact"/>
            </w:pPr>
            <w:r>
              <w:t xml:space="preserve">Network anomalies</w:t>
            </w:r>
          </w:p>
        </w:tc>
        <w:tc>
          <w:tcPr/>
          <w:p>
            <w:pPr>
              <w:pStyle w:val="Compact"/>
            </w:pPr>
            <w:r>
              <w:t xml:space="preserve">KSI-CNA</w:t>
            </w:r>
          </w:p>
        </w:tc>
        <w:tc>
          <w:tcPr/>
          <w:p>
            <w:pPr>
              <w:pStyle w:val="Compact"/>
            </w:pPr>
            <w:r>
              <w:t xml:space="preserve">Network Security</w:t>
            </w:r>
          </w:p>
        </w:tc>
        <w:tc>
          <w:tcPr/>
          <w:p>
            <w:pPr>
              <w:pStyle w:val="Compact"/>
            </w:pPr>
            <w:r>
              <w:t xml:space="preserve">Real-time</w:t>
            </w:r>
          </w:p>
        </w:tc>
      </w:tr>
      <w:tr>
        <w:tc>
          <w:tcPr/>
          <w:p>
            <w:pPr>
              <w:pStyle w:val="Compact"/>
            </w:pPr>
            <w:r>
              <w:t xml:space="preserve">Endpoint threats</w:t>
            </w:r>
          </w:p>
        </w:tc>
        <w:tc>
          <w:tcPr/>
          <w:p>
            <w:pPr>
              <w:pStyle w:val="Compact"/>
            </w:pPr>
            <w:r>
              <w:t xml:space="preserve">KSI-PIY</w:t>
            </w:r>
          </w:p>
        </w:tc>
        <w:tc>
          <w:tcPr/>
          <w:p>
            <w:pPr>
              <w:pStyle w:val="Compact"/>
            </w:pPr>
            <w:r>
              <w:t xml:space="preserve">Endpoint Protection</w:t>
            </w:r>
          </w:p>
        </w:tc>
        <w:tc>
          <w:tcPr/>
          <w:p>
            <w:pPr>
              <w:pStyle w:val="Compact"/>
            </w:pPr>
            <w:r>
              <w:t xml:space="preserve">Real-time</w:t>
            </w:r>
          </w:p>
        </w:tc>
      </w:tr>
      <w:tr>
        <w:tc>
          <w:tcPr/>
          <w:p>
            <w:pPr>
              <w:pStyle w:val="Compact"/>
            </w:pPr>
            <w:r>
              <w:t xml:space="preserve">Vulnerability posture</w:t>
            </w:r>
          </w:p>
        </w:tc>
        <w:tc>
          <w:tcPr/>
          <w:p>
            <w:pPr>
              <w:pStyle w:val="Compact"/>
            </w:pPr>
            <w:r>
              <w:t xml:space="preserve">KSI-MLA</w:t>
            </w:r>
          </w:p>
        </w:tc>
        <w:tc>
          <w:tcPr/>
          <w:p>
            <w:pPr>
              <w:pStyle w:val="Compact"/>
            </w:pPr>
            <w:r>
              <w:t xml:space="preserve">Vulnerability Dashboard</w:t>
            </w:r>
          </w:p>
        </w:tc>
        <w:tc>
          <w:tcPr/>
          <w:p>
            <w:pPr>
              <w:pStyle w:val="Compact"/>
            </w:pPr>
            <w:r>
              <w:t xml:space="preserve">Daily</w:t>
            </w:r>
          </w:p>
        </w:tc>
      </w:tr>
      <w:tr>
        <w:tc>
          <w:tcPr/>
          <w:p>
            <w:pPr>
              <w:pStyle w:val="Compact"/>
            </w:pPr>
            <w:r>
              <w:t xml:space="preserve">SBOM drift / CVE ingestion</w:t>
            </w:r>
          </w:p>
        </w:tc>
        <w:tc>
          <w:tcPr/>
          <w:p>
            <w:pPr>
              <w:pStyle w:val="Compact"/>
            </w:pPr>
            <w:r>
              <w:t xml:space="preserve">KSI-CMT / KSI-SCR</w:t>
            </w:r>
          </w:p>
        </w:tc>
        <w:tc>
          <w:tcPr/>
          <w:p>
            <w:pPr>
              <w:pStyle w:val="Compact"/>
            </w:pPr>
            <w:r>
              <w:t xml:space="preserve">SBOM Dashboard</w:t>
            </w:r>
          </w:p>
        </w:tc>
        <w:tc>
          <w:tcPr/>
          <w:p>
            <w:pPr>
              <w:pStyle w:val="Compact"/>
            </w:pPr>
            <w:r>
              <w:t xml:space="preserve">Per-commit</w:t>
            </w:r>
          </w:p>
        </w:tc>
      </w:tr>
      <w:tr>
        <w:tc>
          <w:tcPr/>
          <w:p>
            <w:pPr>
              <w:pStyle w:val="Compact"/>
            </w:pPr>
            <w:r>
              <w:t xml:space="preserve">Log completeness</w:t>
            </w:r>
          </w:p>
        </w:tc>
        <w:tc>
          <w:tcPr/>
          <w:p>
            <w:pPr>
              <w:pStyle w:val="Compact"/>
            </w:pPr>
            <w:r>
              <w:t xml:space="preserve">KSI-MLA</w:t>
            </w:r>
          </w:p>
        </w:tc>
        <w:tc>
          <w:tcPr/>
          <w:p>
            <w:pPr>
              <w:pStyle w:val="Compact"/>
            </w:pPr>
            <w:r>
              <w:t xml:space="preserve">Log Analytics Health</w:t>
            </w:r>
          </w:p>
        </w:tc>
        <w:tc>
          <w:tcPr/>
          <w:p>
            <w:pPr>
              <w:pStyle w:val="Compact"/>
            </w:pPr>
            <w:r>
              <w:t xml:space="preserve">Hourly</w:t>
            </w:r>
          </w:p>
        </w:tc>
      </w:tr>
    </w:tbl>
    <w:p>
      <w:r>
        <w:pict>
          <v:rect style="width:0;height:1.5pt" o:hralign="center" o:hrstd="t" o:hr="t"/>
        </w:pict>
      </w:r>
    </w:p>
    <w:bookmarkEnd w:id="36"/>
    <w:bookmarkEnd w:id="37"/>
    <w:bookmarkStart w:id="42" w:name="security-contact-registry-pm-15"/>
    <w:p>
      <w:pPr>
        <w:pStyle w:val="Heading1"/>
      </w:pPr>
      <w:r>
        <w:t xml:space="preserve">7. Security Contact Registry (PM-15)</w:t>
      </w:r>
    </w:p>
    <w:bookmarkStart w:id="41" w:name="industry-and-government-liaison-contacts"/>
    <w:p>
      <w:pPr>
        <w:pStyle w:val="Heading2"/>
      </w:pPr>
      <w:r>
        <w:t xml:space="preserve">7.1 Industry and Government Liaison Contacts</w:t>
      </w:r>
    </w:p>
    <w:p>
      <w:pPr>
        <w:pStyle w:val="FirstParagraph"/>
      </w:pPr>
      <w:r>
        <w:t xml:space="preserve">PM-15 requires the organization to maintain current contacts with security</w:t>
      </w:r>
      <w:r>
        <w:t xml:space="preserve"> </w:t>
      </w:r>
      <w:r>
        <w:t xml:space="preserve">groups, associations, and government organizations. The following registry</w:t>
      </w:r>
      <w:r>
        <w:t xml:space="preserve"> </w:t>
      </w:r>
      <w:r>
        <w:t xml:space="preserve">is maintained by the CISO and reviewed quarterly.</w:t>
      </w:r>
    </w:p>
    <w:bookmarkStart w:id="38" w:name="government-contacts"/>
    <w:p>
      <w:pPr>
        <w:pStyle w:val="Heading3"/>
      </w:pPr>
      <w:r>
        <w:t xml:space="preserve">7.1.1 Government Contacts</w:t>
      </w:r>
    </w:p>
    <w:tbl>
      <w:tblPr>
        <w:tblStyle w:val="Table"/>
        <w:tblW w:type="pct" w:w="5000"/>
        <w:tblLayout w:type="fixed"/>
        <w:tblLook w:firstRow="1" w:lastRow="0" w:firstColumn="0" w:lastColumn="0" w:noHBand="0" w:noVBand="0" w:val="0020"/>
      </w:tblPr>
      <w:tblGrid>
        <w:gridCol w:w="1634"/>
        <w:gridCol w:w="1634"/>
        <w:gridCol w:w="2640"/>
        <w:gridCol w:w="2011"/>
      </w:tblGrid>
      <w:tr>
        <w:trPr>
          <w:tblHeader w:val="on"/>
        </w:trPr>
        <w:tc>
          <w:tcPr/>
          <w:p>
            <w:pPr>
              <w:pStyle w:val="Compact"/>
            </w:pPr>
            <w:r>
              <w:t xml:space="preserve">Organization</w:t>
            </w:r>
          </w:p>
        </w:tc>
        <w:tc>
          <w:tcPr/>
          <w:p>
            <w:pPr>
              <w:pStyle w:val="Compact"/>
            </w:pPr>
            <w:r>
              <w:t xml:space="preserve">Contact Type</w:t>
            </w:r>
          </w:p>
        </w:tc>
        <w:tc>
          <w:tcPr/>
          <w:p>
            <w:pPr>
              <w:pStyle w:val="Compact"/>
            </w:pPr>
            <w:r>
              <w:t xml:space="preserve">Notification Trigger</w:t>
            </w:r>
          </w:p>
        </w:tc>
        <w:tc>
          <w:tcPr/>
          <w:p>
            <w:pPr>
              <w:pStyle w:val="Compact"/>
            </w:pPr>
            <w:r>
              <w:t xml:space="preserve">Contact Method</w:t>
            </w:r>
          </w:p>
        </w:tc>
      </w:tr>
      <w:tr>
        <w:tc>
          <w:tcPr/>
          <w:p>
            <w:pPr>
              <w:pStyle w:val="Compact"/>
            </w:pPr>
            <w:r>
              <w:t xml:space="preserve">CISA (US-CERT)</w:t>
            </w:r>
          </w:p>
        </w:tc>
        <w:tc>
          <w:tcPr/>
          <w:p>
            <w:pPr>
              <w:pStyle w:val="Compact"/>
            </w:pPr>
            <w:r>
              <w:t xml:space="preserve">Incident reporting</w:t>
            </w:r>
          </w:p>
        </w:tc>
        <w:tc>
          <w:tcPr/>
          <w:p>
            <w:pPr>
              <w:pStyle w:val="Compact"/>
            </w:pPr>
            <w:r>
              <w:t xml:space="preserve">All incidents meeting FISMA thresholds</w:t>
            </w:r>
          </w:p>
        </w:tc>
        <w:tc>
          <w:tcPr/>
          <w:p>
            <w:pPr>
              <w:pStyle w:val="Compact"/>
            </w:pPr>
            <w:r>
              <w:t xml:space="preserve">ir@cisa.dhs.gov</w:t>
            </w:r>
          </w:p>
        </w:tc>
      </w:tr>
      <w:tr>
        <w:tc>
          <w:tcPr/>
          <w:p>
            <w:pPr>
              <w:pStyle w:val="Compact"/>
            </w:pPr>
            <w:r>
              <w:t xml:space="preserve">CISA KEV team</w:t>
            </w:r>
          </w:p>
        </w:tc>
        <w:tc>
          <w:tcPr/>
          <w:p>
            <w:pPr>
              <w:pStyle w:val="Compact"/>
            </w:pPr>
            <w:r>
              <w:t xml:space="preserve">Vulnerability intel</w:t>
            </w:r>
          </w:p>
        </w:tc>
        <w:tc>
          <w:tcPr/>
          <w:p>
            <w:pPr>
              <w:pStyle w:val="Compact"/>
            </w:pPr>
            <w:r>
              <w:t xml:space="preserve">KEV additions affecting Agency SBOM components</w:t>
            </w:r>
          </w:p>
        </w:tc>
        <w:tc>
          <w:tcPr/>
          <w:p>
            <w:pPr>
              <w:pStyle w:val="Compact"/>
            </w:pPr>
            <w:r>
              <w:t xml:space="preserve">kev@cisa.dhs.gov</w:t>
            </w:r>
          </w:p>
        </w:tc>
      </w:tr>
      <w:tr>
        <w:tc>
          <w:tcPr/>
          <w:p>
            <w:pPr>
              <w:pStyle w:val="Compact"/>
            </w:pPr>
            <w:r>
              <w:t xml:space="preserve">FedRAMP PMO</w:t>
            </w:r>
          </w:p>
        </w:tc>
        <w:tc>
          <w:tcPr/>
          <w:p>
            <w:pPr>
              <w:pStyle w:val="Compact"/>
            </w:pPr>
            <w:r>
              <w:t xml:space="preserve">Inherited CSO authorizations (M365 GCC, GovCloud, DDI SaaS)</w:t>
            </w:r>
          </w:p>
        </w:tc>
        <w:tc>
          <w:tcPr/>
          <w:p>
            <w:pPr>
              <w:pStyle w:val="Compact"/>
            </w:pPr>
            <w:r>
              <w:t xml:space="preserve">Change in an inherited authorization’s status or 20x transition timeline</w:t>
            </w:r>
          </w:p>
        </w:tc>
        <w:tc>
          <w:tcPr/>
          <w:p>
            <w:pPr>
              <w:pStyle w:val="Compact"/>
            </w:pPr>
            <w:r>
              <w:t xml:space="preserve">info@fedramp.gov</w:t>
            </w:r>
          </w:p>
        </w:tc>
      </w:tr>
      <w:tr>
        <w:tc>
          <w:tcPr/>
          <w:p>
            <w:pPr>
              <w:pStyle w:val="Compact"/>
            </w:pPr>
            <w:r>
              <w:t xml:space="preserve">OMB Cyber</w:t>
            </w:r>
          </w:p>
        </w:tc>
        <w:tc>
          <w:tcPr/>
          <w:p>
            <w:pPr>
              <w:pStyle w:val="Compact"/>
            </w:pPr>
            <w:r>
              <w:t xml:space="preserve">Policy guidance</w:t>
            </w:r>
          </w:p>
        </w:tc>
        <w:tc>
          <w:tcPr/>
          <w:p>
            <w:pPr>
              <w:pStyle w:val="Compact"/>
            </w:pPr>
            <w:r>
              <w:t xml:space="preserve">Major policy changes</w:t>
            </w:r>
          </w:p>
        </w:tc>
        <w:tc>
          <w:tcPr/>
          <w:p>
            <w:pPr>
              <w:pStyle w:val="Compact"/>
            </w:pPr>
            <w:r>
              <w:t xml:space="preserve">[OMB POC]</w:t>
            </w:r>
          </w:p>
        </w:tc>
      </w:tr>
      <w:tr>
        <w:tc>
          <w:tcPr/>
          <w:p>
            <w:pPr>
              <w:pStyle w:val="Compact"/>
            </w:pPr>
            <w:r>
              <w:t xml:space="preserve">Agency IG</w:t>
            </w:r>
          </w:p>
        </w:tc>
        <w:tc>
          <w:tcPr/>
          <w:p>
            <w:pPr>
              <w:pStyle w:val="Compact"/>
            </w:pPr>
            <w:r>
              <w:t xml:space="preserve">Audit coordination</w:t>
            </w:r>
          </w:p>
        </w:tc>
        <w:tc>
          <w:tcPr/>
          <w:p>
            <w:pPr>
              <w:pStyle w:val="Compact"/>
            </w:pPr>
            <w:r>
              <w:t xml:space="preserve">Audit notification, investigation referral</w:t>
            </w:r>
          </w:p>
        </w:tc>
        <w:tc>
          <w:tcPr/>
          <w:p>
            <w:pPr>
              <w:pStyle w:val="Compact"/>
            </w:pPr>
            <w:r>
              <w:t xml:space="preserve">[IG POC]</w:t>
            </w:r>
          </w:p>
        </w:tc>
      </w:tr>
    </w:tbl>
    <w:bookmarkEnd w:id="38"/>
    <w:bookmarkStart w:id="39" w:name="industry-and-isac-contacts"/>
    <w:p>
      <w:pPr>
        <w:pStyle w:val="Heading3"/>
      </w:pPr>
      <w:r>
        <w:t xml:space="preserve">7.1.2 Industry and ISAC Contacts</w:t>
      </w:r>
    </w:p>
    <w:tbl>
      <w:tblPr>
        <w:tblStyle w:val="Table"/>
        <w:tblW w:type="pct" w:w="5000"/>
        <w:tblLayout w:type="fixed"/>
        <w:tblLook w:firstRow="1" w:lastRow="0" w:firstColumn="0" w:lastColumn="0" w:noHBand="0" w:noVBand="0" w:val="0020"/>
      </w:tblPr>
      <w:tblGrid>
        <w:gridCol w:w="2101"/>
        <w:gridCol w:w="1777"/>
        <w:gridCol w:w="2586"/>
        <w:gridCol w:w="1454"/>
      </w:tblGrid>
      <w:tr>
        <w:trPr>
          <w:tblHeader w:val="on"/>
        </w:trPr>
        <w:tc>
          <w:tcPr/>
          <w:p>
            <w:pPr>
              <w:pStyle w:val="Compact"/>
            </w:pPr>
            <w:r>
              <w:t xml:space="preserve">Organization</w:t>
            </w:r>
          </w:p>
        </w:tc>
        <w:tc>
          <w:tcPr/>
          <w:p>
            <w:pPr>
              <w:pStyle w:val="Compact"/>
            </w:pPr>
            <w:r>
              <w:t xml:space="preserve">Membership</w:t>
            </w:r>
          </w:p>
        </w:tc>
        <w:tc>
          <w:tcPr/>
          <w:p>
            <w:pPr>
              <w:pStyle w:val="Compact"/>
            </w:pPr>
            <w:r>
              <w:t xml:space="preserve">Contact Purpose</w:t>
            </w:r>
          </w:p>
        </w:tc>
        <w:tc>
          <w:tcPr/>
          <w:p>
            <w:pPr>
              <w:pStyle w:val="Compact"/>
            </w:pPr>
            <w:r>
              <w:t xml:space="preserve">Cadence</w:t>
            </w:r>
          </w:p>
        </w:tc>
      </w:tr>
      <w:tr>
        <w:tc>
          <w:tcPr/>
          <w:p>
            <w:pPr>
              <w:pStyle w:val="Compact"/>
            </w:pPr>
            <w:r>
              <w:t xml:space="preserve">MS-ISAC</w:t>
            </w:r>
          </w:p>
        </w:tc>
        <w:tc>
          <w:tcPr/>
          <w:p>
            <w:pPr>
              <w:pStyle w:val="Compact"/>
            </w:pPr>
            <w:r>
              <w:t xml:space="preserve">Active member</w:t>
            </w:r>
          </w:p>
        </w:tc>
        <w:tc>
          <w:tcPr/>
          <w:p>
            <w:pPr>
              <w:pStyle w:val="Compact"/>
            </w:pPr>
            <w:r>
              <w:t xml:space="preserve">Threat intelligence sharing</w:t>
            </w:r>
          </w:p>
        </w:tc>
        <w:tc>
          <w:tcPr/>
          <w:p>
            <w:pPr>
              <w:pStyle w:val="Compact"/>
            </w:pPr>
            <w:r>
              <w:t xml:space="preserve">Monthly briefing</w:t>
            </w:r>
          </w:p>
        </w:tc>
      </w:tr>
      <w:tr>
        <w:tc>
          <w:tcPr/>
          <w:p>
            <w:pPr>
              <w:pStyle w:val="Compact"/>
            </w:pPr>
            <w:r>
              <w:t xml:space="preserve">IT-ISAC</w:t>
            </w:r>
          </w:p>
        </w:tc>
        <w:tc>
          <w:tcPr/>
          <w:p>
            <w:pPr>
              <w:pStyle w:val="Compact"/>
            </w:pPr>
            <w:r>
              <w:t xml:space="preserve">Liaison</w:t>
            </w:r>
          </w:p>
        </w:tc>
        <w:tc>
          <w:tcPr/>
          <w:p>
            <w:pPr>
              <w:pStyle w:val="Compact"/>
            </w:pPr>
            <w:r>
              <w:t xml:space="preserve">Federal IT threat feeds</w:t>
            </w:r>
          </w:p>
        </w:tc>
        <w:tc>
          <w:tcPr/>
          <w:p>
            <w:pPr>
              <w:pStyle w:val="Compact"/>
            </w:pPr>
            <w:r>
              <w:t xml:space="preserve">Quarterly</w:t>
            </w:r>
          </w:p>
        </w:tc>
      </w:tr>
      <w:tr>
        <w:tc>
          <w:tcPr/>
          <w:p>
            <w:pPr>
              <w:pStyle w:val="Compact"/>
            </w:pPr>
            <w:r>
              <w:t xml:space="preserve">Microsoft MSRC</w:t>
            </w:r>
          </w:p>
        </w:tc>
        <w:tc>
          <w:tcPr/>
          <w:p>
            <w:pPr>
              <w:pStyle w:val="Compact"/>
            </w:pPr>
            <w:r>
              <w:t xml:space="preserve">Vendor subscription</w:t>
            </w:r>
          </w:p>
        </w:tc>
        <w:tc>
          <w:tcPr/>
          <w:p>
            <w:pPr>
              <w:pStyle w:val="Compact"/>
            </w:pPr>
            <w:r>
              <w:t xml:space="preserve">CVE notification for Azure/M365</w:t>
            </w:r>
          </w:p>
        </w:tc>
        <w:tc>
          <w:tcPr/>
          <w:p>
            <w:pPr>
              <w:pStyle w:val="Compact"/>
            </w:pPr>
            <w:r>
              <w:t xml:space="preserve">Automatic (RSS)</w:t>
            </w:r>
          </w:p>
        </w:tc>
      </w:tr>
      <w:tr>
        <w:tc>
          <w:tcPr/>
          <w:p>
            <w:pPr>
              <w:pStyle w:val="Compact"/>
            </w:pPr>
            <w:r>
              <w:t xml:space="preserve">CISA PSIRT feeds</w:t>
            </w:r>
          </w:p>
        </w:tc>
        <w:tc>
          <w:tcPr/>
          <w:p>
            <w:pPr>
              <w:pStyle w:val="Compact"/>
            </w:pPr>
            <w:r>
              <w:t xml:space="preserve">Subscription</w:t>
            </w:r>
          </w:p>
        </w:tc>
        <w:tc>
          <w:tcPr/>
          <w:p>
            <w:pPr>
              <w:pStyle w:val="Compact"/>
            </w:pPr>
            <w:r>
              <w:t xml:space="preserve">VEX/VDR-relevant vendor advisories</w:t>
            </w:r>
          </w:p>
        </w:tc>
        <w:tc>
          <w:tcPr/>
          <w:p>
            <w:pPr>
              <w:pStyle w:val="Compact"/>
            </w:pPr>
            <w:r>
              <w:t xml:space="preserve">Automatic</w:t>
            </w:r>
          </w:p>
        </w:tc>
      </w:tr>
      <w:tr>
        <w:tc>
          <w:tcPr/>
          <w:p>
            <w:pPr>
              <w:pStyle w:val="Compact"/>
            </w:pPr>
            <w:r>
              <w:t xml:space="preserve">NIST NVD</w:t>
            </w:r>
          </w:p>
        </w:tc>
        <w:tc>
          <w:tcPr/>
          <w:p>
            <w:pPr>
              <w:pStyle w:val="Compact"/>
            </w:pPr>
            <w:r>
              <w:t xml:space="preserve">Data consumer</w:t>
            </w:r>
          </w:p>
        </w:tc>
        <w:tc>
          <w:tcPr/>
          <w:p>
            <w:pPr>
              <w:pStyle w:val="Compact"/>
            </w:pPr>
            <w:r>
              <w:t xml:space="preserve">CVE/CVSS feed for SBOM VDR generation</w:t>
            </w:r>
          </w:p>
        </w:tc>
        <w:tc>
          <w:tcPr/>
          <w:p>
            <w:pPr>
              <w:pStyle w:val="Compact"/>
            </w:pPr>
            <w:r>
              <w:t xml:space="preserve">Daily automated pull</w:t>
            </w:r>
          </w:p>
        </w:tc>
      </w:tr>
    </w:tbl>
    <w:bookmarkEnd w:id="39"/>
    <w:bookmarkStart w:id="40" w:name="security-industry-contacts"/>
    <w:p>
      <w:pPr>
        <w:pStyle w:val="Heading3"/>
      </w:pPr>
      <w:r>
        <w:t xml:space="preserve">7.1.3 Security Industry Contacts</w:t>
      </w:r>
    </w:p>
    <w:tbl>
      <w:tblPr>
        <w:tblStyle w:val="Table"/>
        <w:tblW w:type="pct" w:w="5000"/>
        <w:tblLayout w:type="fixed"/>
        <w:tblLook w:firstRow="1" w:lastRow="0" w:firstColumn="0" w:lastColumn="0" w:noHBand="0" w:noVBand="0" w:val="0020"/>
      </w:tblPr>
      <w:tblGrid>
        <w:gridCol w:w="4680"/>
        <w:gridCol w:w="3240"/>
      </w:tblGrid>
      <w:tr>
        <w:trPr>
          <w:tblHeader w:val="on"/>
        </w:trPr>
        <w:tc>
          <w:tcPr/>
          <w:p>
            <w:pPr>
              <w:pStyle w:val="Compact"/>
            </w:pPr>
            <w:r>
              <w:t xml:space="preserve">Organization</w:t>
            </w:r>
          </w:p>
        </w:tc>
        <w:tc>
          <w:tcPr/>
          <w:p>
            <w:pPr>
              <w:pStyle w:val="Compact"/>
            </w:pPr>
            <w:r>
              <w:t xml:space="preserve">Purpose</w:t>
            </w:r>
          </w:p>
        </w:tc>
      </w:tr>
      <w:tr>
        <w:tc>
          <w:tcPr/>
          <w:p>
            <w:pPr>
              <w:pStyle w:val="Compact"/>
            </w:pPr>
            <w:r>
              <w:t xml:space="preserve">Cloud Security Alliance (CSA)</w:t>
            </w:r>
          </w:p>
        </w:tc>
        <w:tc>
          <w:tcPr/>
          <w:p>
            <w:pPr>
              <w:pStyle w:val="Compact"/>
            </w:pPr>
            <w:r>
              <w:t xml:space="preserve">FedRAMP best practices; STAR registry</w:t>
            </w:r>
          </w:p>
        </w:tc>
      </w:tr>
      <w:tr>
        <w:tc>
          <w:tcPr/>
          <w:p>
            <w:pPr>
              <w:pStyle w:val="Compact"/>
            </w:pPr>
            <w:r>
              <w:t xml:space="preserve">ACT-IAC</w:t>
            </w:r>
          </w:p>
        </w:tc>
        <w:tc>
          <w:tcPr/>
          <w:p>
            <w:pPr>
              <w:pStyle w:val="Compact"/>
            </w:pPr>
            <w:r>
              <w:t xml:space="preserve">Federal IT policy; FedRAMP 20x working groups</w:t>
            </w:r>
          </w:p>
        </w:tc>
      </w:tr>
      <w:tr>
        <w:tc>
          <w:tcPr/>
          <w:p>
            <w:pPr>
              <w:pStyle w:val="Compact"/>
            </w:pPr>
            <w:r>
              <w:t xml:space="preserve">ISACA</w:t>
            </w:r>
          </w:p>
        </w:tc>
        <w:tc>
          <w:tcPr/>
          <w:p>
            <w:pPr>
              <w:pStyle w:val="Compact"/>
            </w:pPr>
            <w:r>
              <w:t xml:space="preserve">Audit frameworks; COBIT alignment</w:t>
            </w:r>
          </w:p>
        </w:tc>
      </w:tr>
    </w:tbl>
    <w:p>
      <w:r>
        <w:pict>
          <v:rect style="width:0;height:1.5pt" o:hralign="center" o:hrstd="t" o:hr="t"/>
        </w:pict>
      </w:r>
    </w:p>
    <w:bookmarkEnd w:id="40"/>
    <w:bookmarkEnd w:id="41"/>
    <w:bookmarkEnd w:id="42"/>
    <w:bookmarkStart w:id="51" w:name="Xcb7d7a12a521ad2f34fcbc9b78b5c55b738633c"/>
    <w:p>
      <w:pPr>
        <w:pStyle w:val="Heading1"/>
      </w:pPr>
      <w:r>
        <w:t xml:space="preserve">8. Supply Chain Risk Management Governance Charter (PM-30)</w:t>
      </w:r>
    </w:p>
    <w:bookmarkStart w:id="43" w:name="charter-purpose-and-authority"/>
    <w:p>
      <w:pPr>
        <w:pStyle w:val="Heading2"/>
      </w:pPr>
      <w:r>
        <w:t xml:space="preserve">8.1 Charter Purpose and Authority</w:t>
      </w:r>
    </w:p>
    <w:p>
      <w:pPr>
        <w:pStyle w:val="FirstParagraph"/>
      </w:pPr>
      <w:r>
        <w:t xml:space="preserve">This Supply Chain Risk Management (SCRM) Governance Charter establishes Agency’s</w:t>
      </w:r>
      <w:r>
        <w:t xml:space="preserve"> </w:t>
      </w:r>
      <w:r>
        <w:t xml:space="preserve">organizational commitment to identifying, assessing, and managing supply chain</w:t>
      </w:r>
      <w:r>
        <w:t xml:space="preserve"> </w:t>
      </w:r>
      <w:r>
        <w:t xml:space="preserve">risks across the lifecycle of cloud services used to deliver Agency’s mission.</w:t>
      </w:r>
    </w:p>
    <w:p>
      <w:pPr>
        <w:pStyle w:val="BodyText"/>
      </w:pPr>
      <w:r>
        <w:rPr>
          <w:b/>
          <w:bCs/>
        </w:rPr>
        <w:t xml:space="preserve">Authority:</w:t>
      </w:r>
      <w:r>
        <w:t xml:space="preserve"> </w:t>
      </w:r>
      <w:r>
        <w:t xml:space="preserve">This charter is approved by the [Agency CISO / CIO] and reviewed</w:t>
      </w:r>
      <w:r>
        <w:t xml:space="preserve"> </w:t>
      </w:r>
      <w:r>
        <w:t xml:space="preserve">annually. It implements the requirements of NIST SP 800-161r1, EO 14028</w:t>
      </w:r>
      <w:r>
        <w:t xml:space="preserve"> </w:t>
      </w:r>
      <w:r>
        <w:t xml:space="preserve">§4(c), and FedRAMP 20x KSI-SCR.</w:t>
      </w:r>
    </w:p>
    <w:p>
      <w:pPr>
        <w:pStyle w:val="BodyText"/>
      </w:pPr>
      <w:r>
        <w:rPr>
          <w:b/>
          <w:bCs/>
        </w:rPr>
        <w:t xml:space="preserve">Scope:</w:t>
      </w:r>
      <w:r>
        <w:t xml:space="preserve"> </w:t>
      </w:r>
      <w:r>
        <w:t xml:space="preserve">All cloud services, third-party software components, hardware</w:t>
      </w:r>
      <w:r>
        <w:t xml:space="preserve"> </w:t>
      </w:r>
      <w:r>
        <w:t xml:space="preserve">components, and system integrators within the FedRAMP authorization boundary.</w:t>
      </w:r>
    </w:p>
    <w:bookmarkEnd w:id="43"/>
    <w:bookmarkStart w:id="44" w:name="scrm-organizational-structure"/>
    <w:p>
      <w:pPr>
        <w:pStyle w:val="Heading2"/>
      </w:pPr>
      <w:r>
        <w:t xml:space="preserve">8.2 SCRM Organizational Structure</w:t>
      </w:r>
    </w:p>
    <w:p>
      <w:pPr>
        <w:pStyle w:val="SourceCode"/>
      </w:pPr>
      <w:r>
        <w:rPr>
          <w:rStyle w:val="VerbatimChar"/>
        </w:rPr>
        <w:t xml:space="preserve">Agency CIO</w:t>
      </w:r>
      <w:r>
        <w:br/>
      </w:r>
      <w:r>
        <w:rPr>
          <w:rStyle w:val="VerbatimChar"/>
        </w:rPr>
        <w:t xml:space="preserve">└── CISO (SCRM Executive Sponsor)</w:t>
      </w:r>
      <w:r>
        <w:br/>
      </w:r>
      <w:r>
        <w:rPr>
          <w:rStyle w:val="VerbatimChar"/>
        </w:rPr>
        <w:t xml:space="preserve">    ├── ISSO (SCRM Program Manager — day-to-day)</w:t>
      </w:r>
      <w:r>
        <w:br/>
      </w:r>
      <w:r>
        <w:rPr>
          <w:rStyle w:val="VerbatimChar"/>
        </w:rPr>
        <w:t xml:space="preserve">    │   ├── DevSecOps Lead (SBOM pipeline owner)</w:t>
      </w:r>
      <w:r>
        <w:br/>
      </w:r>
      <w:r>
        <w:rPr>
          <w:rStyle w:val="VerbatimChar"/>
        </w:rPr>
        <w:t xml:space="preserve">    │   ├── Procurement Security Liaison (SR-2 acquisition clauses)</w:t>
      </w:r>
      <w:r>
        <w:br/>
      </w:r>
      <w:r>
        <w:rPr>
          <w:rStyle w:val="VerbatimChar"/>
        </w:rPr>
        <w:t xml:space="preserve">    │   └── Vendor Risk Analyst (supplier assessments, SR-6)</w:t>
      </w:r>
      <w:r>
        <w:br/>
      </w:r>
      <w:r>
        <w:rPr>
          <w:rStyle w:val="VerbatimChar"/>
        </w:rPr>
        <w:t xml:space="preserve">    └── Legal / Contracts (FOCI reviews, supply chain clauses)</w:t>
      </w:r>
    </w:p>
    <w:bookmarkEnd w:id="44"/>
    <w:bookmarkStart w:id="45" w:name="scrm-risk-categories"/>
    <w:p>
      <w:pPr>
        <w:pStyle w:val="Heading2"/>
      </w:pPr>
      <w:r>
        <w:t xml:space="preserve">8.3 SCRM Risk Categories</w:t>
      </w:r>
    </w:p>
    <w:p>
      <w:pPr>
        <w:pStyle w:val="FirstParagraph"/>
      </w:pPr>
      <w:r>
        <w:t xml:space="preserve">Agency’s SCRM program addresses five supply chain risk categories aligned with</w:t>
      </w:r>
      <w:r>
        <w:t xml:space="preserve"> </w:t>
      </w:r>
      <w:r>
        <w:t xml:space="preserve">NIST SP 800-161r1:</w:t>
      </w:r>
    </w:p>
    <w:tbl>
      <w:tblPr>
        <w:tblStyle w:val="Table"/>
        <w:tblW w:type="pct" w:w="5000"/>
        <w:tblLayout w:type="fixed"/>
        <w:tblLook w:firstRow="1" w:lastRow="0" w:firstColumn="0" w:lastColumn="0" w:noHBand="0" w:noVBand="0" w:val="0020"/>
      </w:tblPr>
      <w:tblGrid>
        <w:gridCol w:w="1650"/>
        <w:gridCol w:w="1485"/>
        <w:gridCol w:w="1650"/>
        <w:gridCol w:w="3135"/>
      </w:tblGrid>
      <w:tr>
        <w:trPr>
          <w:tblHeader w:val="on"/>
        </w:trPr>
        <w:tc>
          <w:tcPr/>
          <w:p>
            <w:pPr>
              <w:pStyle w:val="Compact"/>
            </w:pPr>
            <w:r>
              <w:t xml:space="preserve">Category</w:t>
            </w:r>
          </w:p>
        </w:tc>
        <w:tc>
          <w:tcPr/>
          <w:p>
            <w:pPr>
              <w:pStyle w:val="Compact"/>
            </w:pPr>
            <w:r>
              <w:t xml:space="preserve">Examples</w:t>
            </w:r>
          </w:p>
        </w:tc>
        <w:tc>
          <w:tcPr/>
          <w:p>
            <w:pPr>
              <w:pStyle w:val="Compact"/>
            </w:pPr>
            <w:r>
              <w:t xml:space="preserve">Controls</w:t>
            </w:r>
          </w:p>
        </w:tc>
        <w:tc>
          <w:tcPr/>
          <w:p>
            <w:pPr>
              <w:pStyle w:val="Compact"/>
            </w:pPr>
            <w:r>
              <w:t xml:space="preserve">Vol IV Books 02–03 Evidence</w:t>
            </w:r>
          </w:p>
        </w:tc>
      </w:tr>
      <w:tr>
        <w:tc>
          <w:tcPr/>
          <w:p>
            <w:pPr>
              <w:pStyle w:val="Compact"/>
            </w:pPr>
            <w:r>
              <w:rPr>
                <w:b/>
                <w:bCs/>
              </w:rPr>
              <w:t xml:space="preserve">Counterfeit components</w:t>
            </w:r>
          </w:p>
        </w:tc>
        <w:tc>
          <w:tcPr/>
          <w:p>
            <w:pPr>
              <w:pStyle w:val="Compact"/>
            </w:pPr>
            <w:r>
              <w:t xml:space="preserve">Fake open-source packages, typosquatting</w:t>
            </w:r>
          </w:p>
        </w:tc>
        <w:tc>
          <w:tcPr/>
          <w:p>
            <w:pPr>
              <w:pStyle w:val="Compact"/>
            </w:pPr>
            <w:r>
              <w:t xml:space="preserve">SR-3, SR-10</w:t>
            </w:r>
          </w:p>
        </w:tc>
        <w:tc>
          <w:tcPr/>
          <w:p>
            <w:pPr>
              <w:pStyle w:val="Compact"/>
            </w:pPr>
            <w:r>
              <w:t xml:space="preserve">SBOM + Cosign verification</w:t>
            </w:r>
          </w:p>
        </w:tc>
      </w:tr>
      <w:tr>
        <w:tc>
          <w:tcPr/>
          <w:p>
            <w:pPr>
              <w:pStyle w:val="Compact"/>
            </w:pPr>
            <w:r>
              <w:rPr>
                <w:b/>
                <w:bCs/>
              </w:rPr>
              <w:t xml:space="preserve">Tampered components</w:t>
            </w:r>
          </w:p>
        </w:tc>
        <w:tc>
          <w:tcPr/>
          <w:p>
            <w:pPr>
              <w:pStyle w:val="Compact"/>
            </w:pPr>
            <w:r>
              <w:t xml:space="preserve">Compromised build pipeline, malicious update</w:t>
            </w:r>
          </w:p>
        </w:tc>
        <w:tc>
          <w:tcPr/>
          <w:p>
            <w:pPr>
              <w:pStyle w:val="Compact"/>
            </w:pPr>
            <w:r>
              <w:t xml:space="preserve">SR-3, SA-10, SA-11</w:t>
            </w:r>
          </w:p>
        </w:tc>
        <w:tc>
          <w:tcPr/>
          <w:p>
            <w:pPr>
              <w:pStyle w:val="Compact"/>
            </w:pPr>
            <w:r>
              <w:t xml:space="preserve">SLSA provenance, Grype CI gate</w:t>
            </w:r>
          </w:p>
        </w:tc>
      </w:tr>
      <w:tr>
        <w:tc>
          <w:tcPr/>
          <w:p>
            <w:pPr>
              <w:pStyle w:val="Compact"/>
            </w:pPr>
            <w:r>
              <w:rPr>
                <w:b/>
                <w:bCs/>
              </w:rPr>
              <w:t xml:space="preserve">Vulnerable components</w:t>
            </w:r>
          </w:p>
        </w:tc>
        <w:tc>
          <w:tcPr/>
          <w:p>
            <w:pPr>
              <w:pStyle w:val="Compact"/>
            </w:pPr>
            <w:r>
              <w:t xml:space="preserve">Known CVEs in SBOM dependencies</w:t>
            </w:r>
          </w:p>
        </w:tc>
        <w:tc>
          <w:tcPr/>
          <w:p>
            <w:pPr>
              <w:pStyle w:val="Compact"/>
            </w:pPr>
            <w:r>
              <w:t xml:space="preserve">SR-5, SR-6, SR-11</w:t>
            </w:r>
          </w:p>
        </w:tc>
        <w:tc>
          <w:tcPr/>
          <w:p>
            <w:pPr>
              <w:pStyle w:val="Compact"/>
            </w:pPr>
            <w:r>
              <w:t xml:space="preserve">VDR (Grype output), KEV integration</w:t>
            </w:r>
          </w:p>
        </w:tc>
      </w:tr>
      <w:tr>
        <w:tc>
          <w:tcPr/>
          <w:p>
            <w:pPr>
              <w:pStyle w:val="Compact"/>
            </w:pPr>
            <w:r>
              <w:rPr>
                <w:b/>
                <w:bCs/>
              </w:rPr>
              <w:t xml:space="preserve">Unauthorized access by supplier</w:t>
            </w:r>
          </w:p>
        </w:tc>
        <w:tc>
          <w:tcPr/>
          <w:p>
            <w:pPr>
              <w:pStyle w:val="Compact"/>
            </w:pPr>
            <w:r>
              <w:t xml:space="preserve">Vendor with excessive access</w:t>
            </w:r>
          </w:p>
        </w:tc>
        <w:tc>
          <w:tcPr/>
          <w:p>
            <w:pPr>
              <w:pStyle w:val="Compact"/>
            </w:pPr>
            <w:r>
              <w:t xml:space="preserve">SR-6, AC-21</w:t>
            </w:r>
          </w:p>
        </w:tc>
        <w:tc>
          <w:tcPr/>
          <w:p>
            <w:pPr>
              <w:pStyle w:val="Compact"/>
            </w:pPr>
            <w:r>
              <w:t xml:space="preserve">Vol I Book 05 vendor access review</w:t>
            </w:r>
          </w:p>
        </w:tc>
      </w:tr>
      <w:tr>
        <w:tc>
          <w:tcPr/>
          <w:p>
            <w:pPr>
              <w:pStyle w:val="Compact"/>
            </w:pPr>
            <w:r>
              <w:rPr>
                <w:b/>
                <w:bCs/>
              </w:rPr>
              <w:t xml:space="preserve">Vendor financial/operational risk</w:t>
            </w:r>
          </w:p>
        </w:tc>
        <w:tc>
          <w:tcPr/>
          <w:p>
            <w:pPr>
              <w:pStyle w:val="Compact"/>
            </w:pPr>
            <w:r>
              <w:t xml:space="preserve">Vendor bankruptcy, PSIRT closure</w:t>
            </w:r>
          </w:p>
        </w:tc>
        <w:tc>
          <w:tcPr/>
          <w:p>
            <w:pPr>
              <w:pStyle w:val="Compact"/>
            </w:pPr>
            <w:r>
              <w:t xml:space="preserve">SR-8, PM-9</w:t>
            </w:r>
          </w:p>
        </w:tc>
        <w:tc>
          <w:tcPr/>
          <w:p>
            <w:pPr>
              <w:pStyle w:val="Compact"/>
            </w:pPr>
            <w:r>
              <w:t xml:space="preserve">Vendor disclosure matrix (Vol IV Book 02)</w:t>
            </w:r>
          </w:p>
        </w:tc>
      </w:tr>
    </w:tbl>
    <w:bookmarkEnd w:id="45"/>
    <w:bookmarkStart w:id="46" w:name="scrm-risk-assessment-process"/>
    <w:p>
      <w:pPr>
        <w:pStyle w:val="Heading2"/>
      </w:pPr>
      <w:r>
        <w:t xml:space="preserve">8.4 SCRM Risk Assessment Process</w:t>
      </w:r>
    </w:p>
    <w:p>
      <w:pPr>
        <w:pStyle w:val="FirstParagraph"/>
      </w:pPr>
      <w:r>
        <w:t xml:space="preserve">The SCRM risk assessment is performed:</w:t>
      </w:r>
      <w:r>
        <w:t xml:space="preserve"> </w:t>
      </w:r>
      <w:r>
        <w:t xml:space="preserve">-</w:t>
      </w:r>
      <w:r>
        <w:t xml:space="preserve"> </w:t>
      </w:r>
      <w:r>
        <w:rPr>
          <w:b/>
          <w:bCs/>
        </w:rPr>
        <w:t xml:space="preserve">Annually</w:t>
      </w:r>
      <w:r>
        <w:t xml:space="preserve"> </w:t>
      </w:r>
      <w:r>
        <w:t xml:space="preserve">— full assessment of all critical suppliers</w:t>
      </w:r>
      <w:r>
        <w:t xml:space="preserve"> </w:t>
      </w:r>
      <w:r>
        <w:t xml:space="preserve">-</w:t>
      </w:r>
      <w:r>
        <w:t xml:space="preserve"> </w:t>
      </w:r>
      <w:r>
        <w:rPr>
          <w:b/>
          <w:bCs/>
        </w:rPr>
        <w:t xml:space="preserve">On new procurement</w:t>
      </w:r>
      <w:r>
        <w:t xml:space="preserve"> </w:t>
      </w:r>
      <w:r>
        <w:t xml:space="preserve">— for any new third-party software component</w:t>
      </w:r>
      <w:r>
        <w:t xml:space="preserve"> </w:t>
      </w:r>
      <w:r>
        <w:t xml:space="preserve">-</w:t>
      </w:r>
      <w:r>
        <w:t xml:space="preserve"> </w:t>
      </w:r>
      <w:r>
        <w:rPr>
          <w:b/>
          <w:bCs/>
        </w:rPr>
        <w:t xml:space="preserve">On CVE disclosure</w:t>
      </w:r>
      <w:r>
        <w:t xml:space="preserve"> </w:t>
      </w:r>
      <w:r>
        <w:t xml:space="preserve">— triggered by KEV additions or vendor PSIRT advisories</w:t>
      </w:r>
      <w:r>
        <w:t xml:space="preserve"> </w:t>
      </w:r>
      <w:r>
        <w:t xml:space="preserve">-</w:t>
      </w:r>
      <w:r>
        <w:t xml:space="preserve"> </w:t>
      </w:r>
      <w:r>
        <w:rPr>
          <w:b/>
          <w:bCs/>
        </w:rPr>
        <w:t xml:space="preserve">On change</w:t>
      </w:r>
      <w:r>
        <w:t xml:space="preserve"> </w:t>
      </w:r>
      <w:r>
        <w:t xml:space="preserve">— when the SBOM diff shows a new dependency or version bump</w:t>
      </w:r>
    </w:p>
    <w:p>
      <w:pPr>
        <w:pStyle w:val="BodyText"/>
      </w:pPr>
      <w:r>
        <w:rPr>
          <w:b/>
          <w:bCs/>
        </w:rPr>
        <w:t xml:space="preserve">Assessment Inputs:</w:t>
      </w:r>
      <w:r>
        <w:t xml:space="preserve"> </w:t>
      </w:r>
      <w:r>
        <w:t xml:space="preserve">1. SBOM manifest (Syft output, Vol IV Book 02) — identifies all components and suppliers</w:t>
      </w:r>
      <w:r>
        <w:t xml:space="preserve"> </w:t>
      </w:r>
      <w:r>
        <w:t xml:space="preserve">2. VDR (Grype output, Vol IV Book 02) — identifies exploitable vulnerabilities</w:t>
      </w:r>
      <w:r>
        <w:t xml:space="preserve"> </w:t>
      </w:r>
      <w:r>
        <w:t xml:space="preserve">3. Vendor disclosure matrix (Vol IV Book 02 §5) — supplier security posture</w:t>
      </w:r>
      <w:r>
        <w:t xml:space="preserve"> </w:t>
      </w:r>
      <w:r>
        <w:t xml:space="preserve">4. KEV feed (CISA, integrated via Vol III Book 06 Sentinel) — known exploited CVEs</w:t>
      </w:r>
      <w:r>
        <w:t xml:space="preserve"> </w:t>
      </w:r>
      <w:r>
        <w:t xml:space="preserve">5. PSIRT/MSRC subscriptions (Vol IV Book 02 §5 Vendor Disclosure Matrix; §8 Continuous Monitoring) — vendor security advisories</w:t>
      </w:r>
    </w:p>
    <w:p>
      <w:pPr>
        <w:pStyle w:val="BodyText"/>
      </w:pPr>
      <w:r>
        <w:rPr>
          <w:b/>
          <w:bCs/>
        </w:rPr>
        <w:t xml:space="preserve">Assessment Output:</w:t>
      </w:r>
      <w:r>
        <w:t xml:space="preserve"> </w:t>
      </w:r>
      <w:r>
        <w:t xml:space="preserve">- SCRM risk register update (referenced in PM-9 §5.3 above)</w:t>
      </w:r>
      <w:r>
        <w:t xml:space="preserve"> </w:t>
      </w:r>
      <w:r>
        <w:t xml:space="preserve">- VEX assertions for each CVE (OpenVEX format, Vol IV Book 02 §5)</w:t>
      </w:r>
      <w:r>
        <w:t xml:space="preserve"> </w:t>
      </w:r>
      <w:r>
        <w:t xml:space="preserve">- Remediation actions (POA&amp;M items for unmitigated critical CVEs)</w:t>
      </w:r>
    </w:p>
    <w:bookmarkEnd w:id="46"/>
    <w:bookmarkStart w:id="47" w:name="supplier-requirements"/>
    <w:p>
      <w:pPr>
        <w:pStyle w:val="Heading2"/>
      </w:pPr>
      <w:r>
        <w:t xml:space="preserve">8.5 Supplier Requirements</w:t>
      </w:r>
    </w:p>
    <w:p>
      <w:pPr>
        <w:pStyle w:val="FirstParagraph"/>
      </w:pPr>
      <w:r>
        <w:t xml:space="preserve">All suppliers of software components within the authorization boundary must:</w:t>
      </w:r>
    </w:p>
    <w:p>
      <w:pPr>
        <w:pStyle w:val="Compact"/>
        <w:numPr>
          <w:ilvl w:val="0"/>
          <w:numId w:val="1010"/>
        </w:numPr>
      </w:pPr>
      <w:r>
        <w:rPr>
          <w:b/>
          <w:bCs/>
        </w:rPr>
        <w:t xml:space="preserve">Provide an SBOM</w:t>
      </w:r>
      <w:r>
        <w:t xml:space="preserve"> </w:t>
      </w:r>
      <w:r>
        <w:t xml:space="preserve">in CycloneDX 1.6 or SPDX 2.3 format for all software</w:t>
      </w:r>
      <w:r>
        <w:t xml:space="preserve"> </w:t>
      </w:r>
      <w:r>
        <w:t xml:space="preserve">delivered, within 30 days of contract award and within 15 days of any</w:t>
      </w:r>
      <w:r>
        <w:t xml:space="preserve"> </w:t>
      </w:r>
      <w:r>
        <w:t xml:space="preserve">production update</w:t>
      </w:r>
    </w:p>
    <w:p>
      <w:pPr>
        <w:pStyle w:val="Compact"/>
        <w:numPr>
          <w:ilvl w:val="0"/>
          <w:numId w:val="1010"/>
        </w:numPr>
      </w:pPr>
      <w:r>
        <w:rPr>
          <w:b/>
          <w:bCs/>
        </w:rPr>
        <w:t xml:space="preserve">Maintain a PSIRT</w:t>
      </w:r>
      <w:r>
        <w:t xml:space="preserve"> </w:t>
      </w:r>
      <w:r>
        <w:t xml:space="preserve">or designate a security contact reachable within</w:t>
      </w:r>
      <w:r>
        <w:t xml:space="preserve"> </w:t>
      </w:r>
      <w:r>
        <w:t xml:space="preserve">24 hours of a critical CVE disclosure</w:t>
      </w:r>
    </w:p>
    <w:p>
      <w:pPr>
        <w:pStyle w:val="Compact"/>
        <w:numPr>
          <w:ilvl w:val="0"/>
          <w:numId w:val="1010"/>
        </w:numPr>
      </w:pPr>
      <w:r>
        <w:rPr>
          <w:b/>
          <w:bCs/>
        </w:rPr>
        <w:t xml:space="preserve">Notify Agency</w:t>
      </w:r>
      <w:r>
        <w:t xml:space="preserve"> </w:t>
      </w:r>
      <w:r>
        <w:t xml:space="preserve">within 72 hours of discovery of any security incident that</w:t>
      </w:r>
      <w:r>
        <w:t xml:space="preserve"> </w:t>
      </w:r>
      <w:r>
        <w:t xml:space="preserve">may affect components in Agency’s production environment</w:t>
      </w:r>
    </w:p>
    <w:p>
      <w:pPr>
        <w:pStyle w:val="Compact"/>
        <w:numPr>
          <w:ilvl w:val="0"/>
          <w:numId w:val="1010"/>
        </w:numPr>
      </w:pPr>
      <w:r>
        <w:rPr>
          <w:b/>
          <w:bCs/>
        </w:rPr>
        <w:t xml:space="preserve">Submit VEX assertions</w:t>
      </w:r>
      <w:r>
        <w:t xml:space="preserve"> </w:t>
      </w:r>
      <w:r>
        <w:t xml:space="preserve">for CVEs identified in their components within</w:t>
      </w:r>
      <w:r>
        <w:t xml:space="preserve"> </w:t>
      </w:r>
      <w:r>
        <w:t xml:space="preserve">30 days of CVE publication (NVD)</w:t>
      </w:r>
    </w:p>
    <w:p>
      <w:pPr>
        <w:pStyle w:val="Compact"/>
        <w:numPr>
          <w:ilvl w:val="0"/>
          <w:numId w:val="1010"/>
        </w:numPr>
      </w:pPr>
      <w:r>
        <w:rPr>
          <w:b/>
          <w:bCs/>
        </w:rPr>
        <w:t xml:space="preserve">Accept Agency SCRM audit rights</w:t>
      </w:r>
      <w:r>
        <w:t xml:space="preserve"> </w:t>
      </w:r>
      <w:r>
        <w:t xml:space="preserve">— the right to audit the supplier’s</w:t>
      </w:r>
      <w:r>
        <w:t xml:space="preserve"> </w:t>
      </w:r>
      <w:r>
        <w:t xml:space="preserve">security practices with 30 days’ notice</w:t>
      </w:r>
    </w:p>
    <w:p>
      <w:pPr>
        <w:pStyle w:val="BlockText"/>
      </w:pPr>
      <w:r>
        <w:t xml:space="preserve">[FILLABLE] Insert contract clause language for SR-2/SR-3 requirements.</w:t>
      </w:r>
      <w:r>
        <w:t xml:space="preserve"> </w:t>
      </w:r>
      <w:r>
        <w:t xml:space="preserve">Coordinate with Agency Contracts and Procurement to embed SBOM requirement</w:t>
      </w:r>
      <w:r>
        <w:t xml:space="preserve"> </w:t>
      </w:r>
      <w:r>
        <w:t xml:space="preserve">in the standard Acquisition/Vendor Agreement template.</w:t>
      </w:r>
    </w:p>
    <w:bookmarkEnd w:id="47"/>
    <w:bookmarkStart w:id="48" w:name="supply-chain-evidence-posture-eo-14028-4"/>
    <w:p>
      <w:pPr>
        <w:pStyle w:val="Heading2"/>
      </w:pPr>
      <w:r>
        <w:t xml:space="preserve">8.6 Supply-Chain Evidence Posture (EO 14028 §4)</w:t>
      </w:r>
    </w:p>
    <w:p>
      <w:pPr>
        <w:pStyle w:val="FirstParagraph"/>
      </w:pPr>
      <w:r>
        <w:t xml:space="preserve">The SBOM / VDR / VEX evidence artifacts are mandated by EO 14028 §4 and NIST SP</w:t>
      </w:r>
      <w:r>
        <w:t xml:space="preserve"> </w:t>
      </w:r>
      <w:r>
        <w:t xml:space="preserve">800-161 — not by BOD 26-04, which governs the risk-tiered</w:t>
      </w:r>
      <w:r>
        <w:t xml:space="preserve"> </w:t>
      </w:r>
      <w:r>
        <w:rPr>
          <w:i/>
          <w:iCs/>
        </w:rPr>
        <w:t xml:space="preserve">remediation</w:t>
      </w:r>
      <w:r>
        <w:t xml:space="preserve"> </w:t>
      </w:r>
      <w:r>
        <w:t xml:space="preserve">timelines. The pipeline is built in Vol IV Book 02; FedRAMP’s VDR/VER rule sets</w:t>
      </w:r>
      <w:r>
        <w:t xml:space="preserve"> </w:t>
      </w:r>
      <w:r>
        <w:t xml:space="preserve">(NTC-0014) and BOD 26-04’s remediation timelines both take effect</w:t>
      </w:r>
      <w:r>
        <w:t xml:space="preserve"> </w:t>
      </w:r>
      <w:r>
        <w:rPr>
          <w:b/>
          <w:bCs/>
        </w:rPr>
        <w:t xml:space="preserve">December 7,</w:t>
      </w:r>
      <w:r>
        <w:rPr>
          <w:b/>
          <w:bCs/>
        </w:rPr>
        <w:t xml:space="preserve"> </w:t>
      </w:r>
      <w:r>
        <w:rPr>
          <w:b/>
          <w:bCs/>
        </w:rPr>
        <w:t xml:space="preserve">2026</w:t>
      </w:r>
      <w:r>
        <w:t xml:space="preserve">.</w:t>
      </w:r>
    </w:p>
    <w:tbl>
      <w:tblPr>
        <w:tblStyle w:val="Table"/>
        <w:tblW w:type="pct" w:w="5000"/>
        <w:tblLayout w:type="fixed"/>
        <w:tblLook w:firstRow="1" w:lastRow="0" w:firstColumn="0" w:lastColumn="0" w:noHBand="0" w:noVBand="0" w:val="0020"/>
      </w:tblPr>
      <w:tblGrid>
        <w:gridCol w:w="2527"/>
        <w:gridCol w:w="1685"/>
        <w:gridCol w:w="2022"/>
        <w:gridCol w:w="1685"/>
      </w:tblGrid>
      <w:tr>
        <w:trPr>
          <w:tblHeader w:val="on"/>
        </w:trPr>
        <w:tc>
          <w:tcPr/>
          <w:p>
            <w:pPr>
              <w:pStyle w:val="Compact"/>
            </w:pPr>
            <w:r>
              <w:t xml:space="preserve">Evidence Tier</w:t>
            </w:r>
          </w:p>
        </w:tc>
        <w:tc>
          <w:tcPr/>
          <w:p>
            <w:pPr>
              <w:pStyle w:val="Compact"/>
            </w:pPr>
            <w:r>
              <w:t xml:space="preserve">Artifact</w:t>
            </w:r>
          </w:p>
        </w:tc>
        <w:tc>
          <w:tcPr/>
          <w:p>
            <w:pPr>
              <w:pStyle w:val="Compact"/>
            </w:pPr>
            <w:r>
              <w:t xml:space="preserve">Agency Status</w:t>
            </w:r>
          </w:p>
        </w:tc>
        <w:tc>
          <w:tcPr/>
          <w:p>
            <w:pPr>
              <w:pStyle w:val="Compact"/>
            </w:pPr>
            <w:r>
              <w:t xml:space="preserve">Evidence</w:t>
            </w:r>
          </w:p>
        </w:tc>
      </w:tr>
      <w:tr>
        <w:tc>
          <w:tcPr/>
          <w:p>
            <w:pPr>
              <w:pStyle w:val="Compact"/>
            </w:pPr>
            <w:r>
              <w:t xml:space="preserve">Tier 1: SBOM</w:t>
            </w:r>
          </w:p>
        </w:tc>
        <w:tc>
          <w:tcPr/>
          <w:p>
            <w:pPr>
              <w:pStyle w:val="Compact"/>
            </w:pPr>
            <w:r>
              <w:t xml:space="preserve">Machine-readable SBOM for all systems</w:t>
            </w:r>
          </w:p>
        </w:tc>
        <w:tc>
          <w:tcPr/>
          <w:p>
            <w:pPr>
              <w:pStyle w:val="Compact"/>
            </w:pPr>
            <w:r>
              <w:t xml:space="preserve">Pipeline built; formal submission due Dec 7 2026</w:t>
            </w:r>
          </w:p>
        </w:tc>
        <w:tc>
          <w:tcPr/>
          <w:p>
            <w:pPr>
              <w:pStyle w:val="Compact"/>
            </w:pPr>
            <w:r>
              <w:t xml:space="preserve">Vol IV Book 02, Syft pipeline</w:t>
            </w:r>
          </w:p>
        </w:tc>
      </w:tr>
      <w:tr>
        <w:tc>
          <w:tcPr/>
          <w:p>
            <w:pPr>
              <w:pStyle w:val="Compact"/>
            </w:pPr>
            <w:r>
              <w:t xml:space="preserve">Tier 2: VDR</w:t>
            </w:r>
          </w:p>
        </w:tc>
        <w:tc>
          <w:tcPr/>
          <w:p>
            <w:pPr>
              <w:pStyle w:val="Compact"/>
            </w:pPr>
            <w:r>
              <w:t xml:space="preserve">Vulnerability Disclosure Report (CycloneDX)</w:t>
            </w:r>
          </w:p>
        </w:tc>
        <w:tc>
          <w:tcPr/>
          <w:p>
            <w:pPr>
              <w:pStyle w:val="Compact"/>
            </w:pPr>
            <w:r>
              <w:t xml:space="preserve">Pipeline built; formal submission due Dec 7 2026</w:t>
            </w:r>
          </w:p>
        </w:tc>
        <w:tc>
          <w:tcPr/>
          <w:p>
            <w:pPr>
              <w:pStyle w:val="Compact"/>
            </w:pPr>
            <w:r>
              <w:t xml:space="preserve">Vol IV Book 02, Grype output</w:t>
            </w:r>
          </w:p>
        </w:tc>
      </w:tr>
      <w:tr>
        <w:tc>
          <w:tcPr/>
          <w:p>
            <w:pPr>
              <w:pStyle w:val="Compact"/>
            </w:pPr>
            <w:r>
              <w:t xml:space="preserve">Tier 3: VEX</w:t>
            </w:r>
          </w:p>
        </w:tc>
        <w:tc>
          <w:tcPr/>
          <w:p>
            <w:pPr>
              <w:pStyle w:val="Compact"/>
            </w:pPr>
            <w:r>
              <w:t xml:space="preserve">Vulnerability Exploitability eXchange</w:t>
            </w:r>
          </w:p>
        </w:tc>
        <w:tc>
          <w:tcPr/>
          <w:p>
            <w:pPr>
              <w:pStyle w:val="Compact"/>
            </w:pPr>
            <w:r>
              <w:t xml:space="preserve">Pipeline built; formal submission due Dec 7 2026</w:t>
            </w:r>
          </w:p>
        </w:tc>
        <w:tc>
          <w:tcPr/>
          <w:p>
            <w:pPr>
              <w:pStyle w:val="Compact"/>
            </w:pPr>
            <w:r>
              <w:t xml:space="preserve">Vol IV Book 02, OpenVEX JSON</w:t>
            </w:r>
          </w:p>
        </w:tc>
      </w:tr>
    </w:tbl>
    <w:p>
      <w:pPr>
        <w:pStyle w:val="BodyText"/>
      </w:pPr>
      <w:r>
        <w:t xml:space="preserve">Agency’s SCRM program satisfies all three BOD 26-04 tiers through the technical</w:t>
      </w:r>
      <w:r>
        <w:t xml:space="preserve"> </w:t>
      </w:r>
      <w:r>
        <w:t xml:space="preserve">pipeline established in Vol IV Book 02 (SBOM + VDR + VEX Framework) and the</w:t>
      </w:r>
      <w:r>
        <w:t xml:space="preserve"> </w:t>
      </w:r>
      <w:r>
        <w:t xml:space="preserve">organizational governance framework established in this charter.</w:t>
      </w:r>
    </w:p>
    <w:bookmarkEnd w:id="48"/>
    <w:bookmarkStart w:id="49" w:name="scrm-governance-cadence"/>
    <w:p>
      <w:pPr>
        <w:pStyle w:val="Heading2"/>
      </w:pPr>
      <w:r>
        <w:t xml:space="preserve">8.7 SCRM Governance Cadence</w:t>
      </w:r>
    </w:p>
    <w:tbl>
      <w:tblPr>
        <w:tblStyle w:val="Table"/>
        <w:tblW w:type="pct" w:w="5000"/>
        <w:tblLayout w:type="fixed"/>
        <w:tblLook w:firstRow="1" w:lastRow="0" w:firstColumn="0" w:lastColumn="0" w:noHBand="0" w:noVBand="0" w:val="0020"/>
      </w:tblPr>
      <w:tblGrid>
        <w:gridCol w:w="2200"/>
        <w:gridCol w:w="2420"/>
        <w:gridCol w:w="1540"/>
        <w:gridCol w:w="1760"/>
      </w:tblGrid>
      <w:tr>
        <w:trPr>
          <w:tblHeader w:val="on"/>
        </w:trPr>
        <w:tc>
          <w:tcPr/>
          <w:p>
            <w:pPr>
              <w:pStyle w:val="Compact"/>
            </w:pPr>
            <w:r>
              <w:t xml:space="preserve">Activity</w:t>
            </w:r>
          </w:p>
        </w:tc>
        <w:tc>
          <w:tcPr/>
          <w:p>
            <w:pPr>
              <w:pStyle w:val="Compact"/>
            </w:pPr>
            <w:r>
              <w:t xml:space="preserve">Frequency</w:t>
            </w:r>
          </w:p>
        </w:tc>
        <w:tc>
          <w:tcPr/>
          <w:p>
            <w:pPr>
              <w:pStyle w:val="Compact"/>
            </w:pPr>
            <w:r>
              <w:t xml:space="preserve">Owner</w:t>
            </w:r>
          </w:p>
        </w:tc>
        <w:tc>
          <w:tcPr/>
          <w:p>
            <w:pPr>
              <w:pStyle w:val="Compact"/>
            </w:pPr>
            <w:r>
              <w:t xml:space="preserve">Output</w:t>
            </w:r>
          </w:p>
        </w:tc>
      </w:tr>
      <w:tr>
        <w:tc>
          <w:tcPr/>
          <w:p>
            <w:pPr>
              <w:pStyle w:val="Compact"/>
            </w:pPr>
            <w:r>
              <w:t xml:space="preserve">SBOM scan (CI gate)</w:t>
            </w:r>
          </w:p>
        </w:tc>
        <w:tc>
          <w:tcPr/>
          <w:p>
            <w:pPr>
              <w:pStyle w:val="Compact"/>
            </w:pPr>
            <w:r>
              <w:t xml:space="preserve">Every PR merge</w:t>
            </w:r>
          </w:p>
        </w:tc>
        <w:tc>
          <w:tcPr/>
          <w:p>
            <w:pPr>
              <w:pStyle w:val="Compact"/>
            </w:pPr>
            <w:r>
              <w:t xml:space="preserve">DevSecOps</w:t>
            </w:r>
          </w:p>
        </w:tc>
        <w:tc>
          <w:tcPr/>
          <w:p>
            <w:pPr>
              <w:pStyle w:val="Compact"/>
            </w:pPr>
            <w:r>
              <w:t xml:space="preserve">VDR (Grype)</w:t>
            </w:r>
          </w:p>
        </w:tc>
      </w:tr>
      <w:tr>
        <w:tc>
          <w:tcPr/>
          <w:p>
            <w:pPr>
              <w:pStyle w:val="Compact"/>
            </w:pPr>
            <w:r>
              <w:t xml:space="preserve">VEX assertion review</w:t>
            </w:r>
          </w:p>
        </w:tc>
        <w:tc>
          <w:tcPr/>
          <w:p>
            <w:pPr>
              <w:pStyle w:val="Compact"/>
            </w:pPr>
            <w:r>
              <w:t xml:space="preserve">90-day cycle</w:t>
            </w:r>
          </w:p>
        </w:tc>
        <w:tc>
          <w:tcPr/>
          <w:p>
            <w:pPr>
              <w:pStyle w:val="Compact"/>
            </w:pPr>
            <w:r>
              <w:t xml:space="preserve">ISSO</w:t>
            </w:r>
          </w:p>
        </w:tc>
        <w:tc>
          <w:tcPr/>
          <w:p>
            <w:pPr>
              <w:pStyle w:val="Compact"/>
            </w:pPr>
            <w:r>
              <w:t xml:space="preserve">Signed VEX JSON</w:t>
            </w:r>
          </w:p>
        </w:tc>
      </w:tr>
      <w:tr>
        <w:tc>
          <w:tcPr/>
          <w:p>
            <w:pPr>
              <w:pStyle w:val="Compact"/>
            </w:pPr>
            <w:r>
              <w:t xml:space="preserve">Vendor disclosure matrix review</w:t>
            </w:r>
          </w:p>
        </w:tc>
        <w:tc>
          <w:tcPr/>
          <w:p>
            <w:pPr>
              <w:pStyle w:val="Compact"/>
            </w:pPr>
            <w:r>
              <w:t xml:space="preserve">Annual + on change</w:t>
            </w:r>
          </w:p>
        </w:tc>
        <w:tc>
          <w:tcPr/>
          <w:p>
            <w:pPr>
              <w:pStyle w:val="Compact"/>
            </w:pPr>
            <w:r>
              <w:t xml:space="preserve">Vendor Risk Analyst</w:t>
            </w:r>
          </w:p>
        </w:tc>
        <w:tc>
          <w:tcPr/>
          <w:p>
            <w:pPr>
              <w:pStyle w:val="Compact"/>
            </w:pPr>
            <w:r>
              <w:t xml:space="preserve">Updated matrix</w:t>
            </w:r>
          </w:p>
        </w:tc>
      </w:tr>
      <w:tr>
        <w:tc>
          <w:tcPr/>
          <w:p>
            <w:pPr>
              <w:pStyle w:val="Compact"/>
            </w:pPr>
            <w:r>
              <w:t xml:space="preserve">SCRM risk register review</w:t>
            </w:r>
          </w:p>
        </w:tc>
        <w:tc>
          <w:tcPr/>
          <w:p>
            <w:pPr>
              <w:pStyle w:val="Compact"/>
            </w:pPr>
            <w:r>
              <w:t xml:space="preserve">Quarterly</w:t>
            </w:r>
          </w:p>
        </w:tc>
        <w:tc>
          <w:tcPr/>
          <w:p>
            <w:pPr>
              <w:pStyle w:val="Compact"/>
            </w:pPr>
            <w:r>
              <w:t xml:space="preserve">ISSO</w:t>
            </w:r>
          </w:p>
        </w:tc>
        <w:tc>
          <w:tcPr/>
          <w:p>
            <w:pPr>
              <w:pStyle w:val="Compact"/>
            </w:pPr>
            <w:r>
              <w:t xml:space="preserve">Risk register update</w:t>
            </w:r>
          </w:p>
        </w:tc>
      </w:tr>
      <w:tr>
        <w:tc>
          <w:tcPr/>
          <w:p>
            <w:pPr>
              <w:pStyle w:val="Compact"/>
            </w:pPr>
            <w:r>
              <w:t xml:space="preserve">Supplier SBOM receipt</w:t>
            </w:r>
          </w:p>
        </w:tc>
        <w:tc>
          <w:tcPr/>
          <w:p>
            <w:pPr>
              <w:pStyle w:val="Compact"/>
            </w:pPr>
            <w:r>
              <w:t xml:space="preserve">On delivery + quarterly</w:t>
            </w:r>
          </w:p>
        </w:tc>
        <w:tc>
          <w:tcPr/>
          <w:p>
            <w:pPr>
              <w:pStyle w:val="Compact"/>
            </w:pPr>
            <w:r>
              <w:t xml:space="preserve">Procurement Liaison</w:t>
            </w:r>
          </w:p>
        </w:tc>
        <w:tc>
          <w:tcPr/>
          <w:p>
            <w:pPr>
              <w:pStyle w:val="Compact"/>
            </w:pPr>
            <w:r>
              <w:t xml:space="preserve">Supplier SBOM log</w:t>
            </w:r>
          </w:p>
        </w:tc>
      </w:tr>
      <w:tr>
        <w:tc>
          <w:tcPr/>
          <w:p>
            <w:pPr>
              <w:pStyle w:val="Compact"/>
            </w:pPr>
            <w:r>
              <w:t xml:space="preserve">PSIRT subscription check</w:t>
            </w:r>
          </w:p>
        </w:tc>
        <w:tc>
          <w:tcPr/>
          <w:p>
            <w:pPr>
              <w:pStyle w:val="Compact"/>
            </w:pPr>
            <w:r>
              <w:t xml:space="preserve">Monthly</w:t>
            </w:r>
          </w:p>
        </w:tc>
        <w:tc>
          <w:tcPr/>
          <w:p>
            <w:pPr>
              <w:pStyle w:val="Compact"/>
            </w:pPr>
            <w:r>
              <w:t xml:space="preserve">DevSecOps</w:t>
            </w:r>
          </w:p>
        </w:tc>
        <w:tc>
          <w:tcPr/>
          <w:p>
            <w:pPr>
              <w:pStyle w:val="Compact"/>
            </w:pPr>
            <w:r>
              <w:t xml:space="preserve">Subscription roster</w:t>
            </w:r>
          </w:p>
        </w:tc>
      </w:tr>
      <w:tr>
        <w:tc>
          <w:tcPr/>
          <w:p>
            <w:pPr>
              <w:pStyle w:val="Compact"/>
            </w:pPr>
            <w:r>
              <w:t xml:space="preserve">SCRM charter review</w:t>
            </w:r>
          </w:p>
        </w:tc>
        <w:tc>
          <w:tcPr/>
          <w:p>
            <w:pPr>
              <w:pStyle w:val="Compact"/>
            </w:pPr>
            <w:r>
              <w:t xml:space="preserve">Annual</w:t>
            </w:r>
          </w:p>
        </w:tc>
        <w:tc>
          <w:tcPr/>
          <w:p>
            <w:pPr>
              <w:pStyle w:val="Compact"/>
            </w:pPr>
            <w:r>
              <w:t xml:space="preserve">CISO</w:t>
            </w:r>
          </w:p>
        </w:tc>
        <w:tc>
          <w:tcPr/>
          <w:p>
            <w:pPr>
              <w:pStyle w:val="Compact"/>
            </w:pPr>
            <w:r>
              <w:t xml:space="preserve">Approved charter revision</w:t>
            </w:r>
          </w:p>
        </w:tc>
      </w:tr>
      <w:tr>
        <w:tc>
          <w:tcPr/>
          <w:p>
            <w:pPr>
              <w:pStyle w:val="Compact"/>
            </w:pPr>
            <w:r>
              <w:t xml:space="preserve">BOD 26-04 submission check</w:t>
            </w:r>
          </w:p>
        </w:tc>
        <w:tc>
          <w:tcPr/>
          <w:p>
            <w:pPr>
              <w:pStyle w:val="Compact"/>
            </w:pPr>
            <w:r>
              <w:t xml:space="preserve">Pre-deadline (Oct 1)</w:t>
            </w:r>
          </w:p>
        </w:tc>
        <w:tc>
          <w:tcPr/>
          <w:p>
            <w:pPr>
              <w:pStyle w:val="Compact"/>
            </w:pPr>
            <w:r>
              <w:t xml:space="preserve">CISO / AO</w:t>
            </w:r>
          </w:p>
        </w:tc>
        <w:tc>
          <w:tcPr/>
          <w:p>
            <w:pPr>
              <w:pStyle w:val="Compact"/>
            </w:pPr>
            <w:r>
              <w:t xml:space="preserve">VDR/VER submission package</w:t>
            </w:r>
          </w:p>
        </w:tc>
      </w:tr>
    </w:tbl>
    <w:bookmarkEnd w:id="49"/>
    <w:bookmarkStart w:id="50" w:name="charter-approval"/>
    <w:p>
      <w:pPr>
        <w:pStyle w:val="Heading2"/>
      </w:pPr>
      <w:r>
        <w:t xml:space="preserve">8.8 Charter Approval</w:t>
      </w:r>
    </w:p>
    <w:p>
      <w:pPr>
        <w:pStyle w:val="FirstParagraph"/>
      </w:pPr>
      <w:r>
        <w:t xml:space="preserve">This SCRM Governance Charter has been reviewed and approved by:</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Role</w:t>
            </w:r>
          </w:p>
        </w:tc>
        <w:tc>
          <w:tcPr/>
          <w:p>
            <w:pPr>
              <w:pStyle w:val="Compact"/>
            </w:pPr>
            <w:r>
              <w:t xml:space="preserve">Name</w:t>
            </w:r>
          </w:p>
        </w:tc>
        <w:tc>
          <w:tcPr/>
          <w:p>
            <w:pPr>
              <w:pStyle w:val="Compact"/>
            </w:pPr>
            <w:r>
              <w:t xml:space="preserve">Signature</w:t>
            </w:r>
          </w:p>
        </w:tc>
        <w:tc>
          <w:tcPr/>
          <w:p>
            <w:pPr>
              <w:pStyle w:val="Compact"/>
            </w:pPr>
            <w:r>
              <w:t xml:space="preserve">Date</w:t>
            </w:r>
          </w:p>
        </w:tc>
      </w:tr>
      <w:tr>
        <w:tc>
          <w:tcPr/>
          <w:p>
            <w:pPr>
              <w:pStyle w:val="Compact"/>
            </w:pPr>
            <w:r>
              <w:t xml:space="preserve">CISO / SAISO</w:t>
            </w:r>
          </w:p>
        </w:tc>
        <w:tc>
          <w:tcPr/>
          <w:p>
            <w:pPr>
              <w:pStyle w:val="Compact"/>
            </w:pPr>
            <w:r>
              <w:t xml:space="preserve">[NAME]</w:t>
            </w:r>
          </w:p>
        </w:tc>
        <w:tc>
          <w:tcPr/>
          <w:p>
            <w:pPr>
              <w:pStyle w:val="Compact"/>
            </w:pPr>
            <w:r>
              <w:t xml:space="preserve">[SIGNATURE]</w:t>
            </w:r>
          </w:p>
        </w:tc>
        <w:tc>
          <w:tcPr/>
          <w:p>
            <w:pPr>
              <w:pStyle w:val="Compact"/>
            </w:pPr>
            <w:r>
              <w:t xml:space="preserve">[DATE]</w:t>
            </w:r>
          </w:p>
        </w:tc>
      </w:tr>
      <w:tr>
        <w:tc>
          <w:tcPr/>
          <w:p>
            <w:pPr>
              <w:pStyle w:val="Compact"/>
            </w:pPr>
            <w:r>
              <w:t xml:space="preserve">CIO</w:t>
            </w:r>
          </w:p>
        </w:tc>
        <w:tc>
          <w:tcPr/>
          <w:p>
            <w:pPr>
              <w:pStyle w:val="Compact"/>
            </w:pPr>
            <w:r>
              <w:t xml:space="preserve">[NAME]</w:t>
            </w:r>
          </w:p>
        </w:tc>
        <w:tc>
          <w:tcPr/>
          <w:p>
            <w:pPr>
              <w:pStyle w:val="Compact"/>
            </w:pPr>
            <w:r>
              <w:t xml:space="preserve">[SIGNATURE]</w:t>
            </w:r>
          </w:p>
        </w:tc>
        <w:tc>
          <w:tcPr/>
          <w:p>
            <w:pPr>
              <w:pStyle w:val="Compact"/>
            </w:pPr>
            <w:r>
              <w:t xml:space="preserve">[DATE]</w:t>
            </w:r>
          </w:p>
        </w:tc>
      </w:tr>
      <w:tr>
        <w:tc>
          <w:tcPr/>
          <w:p>
            <w:pPr>
              <w:pStyle w:val="Compact"/>
            </w:pPr>
            <w:r>
              <w:t xml:space="preserve">AO</w:t>
            </w:r>
          </w:p>
        </w:tc>
        <w:tc>
          <w:tcPr/>
          <w:p>
            <w:pPr>
              <w:pStyle w:val="Compact"/>
            </w:pPr>
            <w:r>
              <w:t xml:space="preserve">[NAME]</w:t>
            </w:r>
          </w:p>
        </w:tc>
        <w:tc>
          <w:tcPr/>
          <w:p>
            <w:pPr>
              <w:pStyle w:val="Compact"/>
            </w:pPr>
            <w:r>
              <w:t xml:space="preserve">[SIGNATURE]</w:t>
            </w:r>
          </w:p>
        </w:tc>
        <w:tc>
          <w:tcPr/>
          <w:p>
            <w:pPr>
              <w:pStyle w:val="Compact"/>
            </w:pPr>
            <w:r>
              <w:t xml:space="preserve">[DATE]</w:t>
            </w:r>
          </w:p>
        </w:tc>
      </w:tr>
      <w:tr>
        <w:tc>
          <w:tcPr/>
          <w:p>
            <w:pPr>
              <w:pStyle w:val="Compact"/>
            </w:pPr>
            <w:r>
              <w:t xml:space="preserve">Privacy Officer</w:t>
            </w:r>
          </w:p>
        </w:tc>
        <w:tc>
          <w:tcPr/>
          <w:p>
            <w:pPr>
              <w:pStyle w:val="Compact"/>
            </w:pPr>
            <w:r>
              <w:t xml:space="preserve">[NAME]</w:t>
            </w:r>
          </w:p>
        </w:tc>
        <w:tc>
          <w:tcPr/>
          <w:p>
            <w:pPr>
              <w:pStyle w:val="Compact"/>
            </w:pPr>
            <w:r>
              <w:t xml:space="preserve">[SIGNATURE]</w:t>
            </w:r>
          </w:p>
        </w:tc>
        <w:tc>
          <w:tcPr/>
          <w:p>
            <w:pPr>
              <w:pStyle w:val="Compact"/>
            </w:pPr>
            <w:r>
              <w:t xml:space="preserve">[DATE]</w:t>
            </w:r>
          </w:p>
        </w:tc>
      </w:tr>
    </w:tbl>
    <w:p>
      <w:pPr>
        <w:pStyle w:val="BlockText"/>
      </w:pPr>
      <w:r>
        <w:t xml:space="preserve">[FILLABLE] Obtain signatures before submission in the FedRAMP authorization</w:t>
      </w:r>
      <w:r>
        <w:t xml:space="preserve"> </w:t>
      </w:r>
      <w:r>
        <w:t xml:space="preserve">package. The signed charter is the PM-30 evidence artifact. It must be</w:t>
      </w:r>
      <w:r>
        <w:t xml:space="preserve"> </w:t>
      </w:r>
      <w:r>
        <w:t xml:space="preserve">dated and version-controlled; include version number and supersession note</w:t>
      </w:r>
      <w:r>
        <w:t xml:space="preserve"> </w:t>
      </w:r>
      <w:r>
        <w:t xml:space="preserve">when updated.</w:t>
      </w:r>
    </w:p>
    <w:p>
      <w:r>
        <w:pict>
          <v:rect style="width:0;height:1.5pt" o:hralign="center" o:hrstd="t" o:hr="t"/>
        </w:pict>
      </w:r>
    </w:p>
    <w:bookmarkEnd w:id="50"/>
    <w:bookmarkEnd w:id="51"/>
    <w:bookmarkStart w:id="52" w:name="X9a8cc4156c444ad790bcefa1d9b65ee3c9d9279"/>
    <w:p>
      <w:pPr>
        <w:pStyle w:val="Heading1"/>
      </w:pPr>
      <w:r>
        <w:t xml:space="preserve">9. Appendix A — PM Control Traceability Matrix</w:t>
      </w:r>
    </w:p>
    <w:tbl>
      <w:tblPr>
        <w:tblStyle w:val="Table"/>
        <w:tblW w:type="pct" w:w="5000"/>
        <w:tblLayout w:type="fixed"/>
        <w:tblLook w:firstRow="1" w:lastRow="0" w:firstColumn="0" w:lastColumn="0" w:noHBand="0" w:noVBand="0" w:val="0020"/>
      </w:tblPr>
      <w:tblGrid>
        <w:gridCol w:w="1620"/>
        <w:gridCol w:w="1260"/>
        <w:gridCol w:w="1980"/>
        <w:gridCol w:w="1620"/>
        <w:gridCol w:w="1440"/>
      </w:tblGrid>
      <w:tr>
        <w:trPr>
          <w:tblHeader w:val="on"/>
        </w:trPr>
        <w:tc>
          <w:tcPr/>
          <w:p>
            <w:pPr>
              <w:pStyle w:val="Compact"/>
            </w:pPr>
            <w:r>
              <w:t xml:space="preserve">Control</w:t>
            </w:r>
          </w:p>
        </w:tc>
        <w:tc>
          <w:tcPr/>
          <w:p>
            <w:pPr>
              <w:pStyle w:val="Compact"/>
            </w:pPr>
            <w:r>
              <w:t xml:space="preserve">Title</w:t>
            </w:r>
          </w:p>
        </w:tc>
        <w:tc>
          <w:tcPr/>
          <w:p>
            <w:pPr>
              <w:pStyle w:val="Compact"/>
            </w:pPr>
            <w:r>
              <w:t xml:space="preserve">§Reference</w:t>
            </w:r>
          </w:p>
        </w:tc>
        <w:tc>
          <w:tcPr/>
          <w:p>
            <w:pPr>
              <w:pStyle w:val="Compact"/>
            </w:pPr>
            <w:r>
              <w:t xml:space="preserve">Artifact</w:t>
            </w:r>
          </w:p>
        </w:tc>
        <w:tc>
          <w:tcPr/>
          <w:p>
            <w:pPr>
              <w:pStyle w:val="Compact"/>
            </w:pPr>
            <w:r>
              <w:t xml:space="preserve">Status</w:t>
            </w:r>
          </w:p>
        </w:tc>
      </w:tr>
      <w:tr>
        <w:tc>
          <w:tcPr/>
          <w:p>
            <w:pPr>
              <w:pStyle w:val="Compact"/>
            </w:pPr>
            <w:r>
              <w:t xml:space="preserve">PM-1</w:t>
            </w:r>
          </w:p>
        </w:tc>
        <w:tc>
          <w:tcPr/>
          <w:p>
            <w:pPr>
              <w:pStyle w:val="Compact"/>
            </w:pPr>
            <w:r>
              <w:t xml:space="preserve">Information Security Program Plan</w:t>
            </w:r>
          </w:p>
        </w:tc>
        <w:tc>
          <w:tcPr/>
          <w:p>
            <w:pPr>
              <w:pStyle w:val="Compact"/>
            </w:pPr>
            <w:r>
              <w:t xml:space="preserve">§2</w:t>
            </w:r>
          </w:p>
        </w:tc>
        <w:tc>
          <w:tcPr/>
          <w:p>
            <w:pPr>
              <w:pStyle w:val="Compact"/>
            </w:pPr>
            <w:r>
              <w:t xml:space="preserve">ISPP Template</w:t>
            </w:r>
          </w:p>
        </w:tc>
        <w:tc>
          <w:tcPr/>
          <w:p>
            <w:pPr>
              <w:pStyle w:val="Compact"/>
            </w:pPr>
            <w:r>
              <w:t xml:space="preserve">✅ Template provided</w:t>
            </w:r>
          </w:p>
        </w:tc>
      </w:tr>
      <w:tr>
        <w:tc>
          <w:tcPr/>
          <w:p>
            <w:pPr>
              <w:pStyle w:val="Compact"/>
            </w:pPr>
            <w:r>
              <w:t xml:space="preserve">PM-2</w:t>
            </w:r>
          </w:p>
        </w:tc>
        <w:tc>
          <w:tcPr/>
          <w:p>
            <w:pPr>
              <w:pStyle w:val="Compact"/>
            </w:pPr>
            <w:r>
              <w:t xml:space="preserve">Info Security Program Leadership Role</w:t>
            </w:r>
          </w:p>
        </w:tc>
        <w:tc>
          <w:tcPr/>
          <w:p>
            <w:pPr>
              <w:pStyle w:val="Compact"/>
            </w:pPr>
            <w:r>
              <w:t xml:space="preserve">§3</w:t>
            </w:r>
          </w:p>
        </w:tc>
        <w:tc>
          <w:tcPr/>
          <w:p>
            <w:pPr>
              <w:pStyle w:val="Compact"/>
            </w:pPr>
            <w:r>
              <w:t xml:space="preserve">Leadership RACI</w:t>
            </w:r>
          </w:p>
        </w:tc>
        <w:tc>
          <w:tcPr/>
          <w:p>
            <w:pPr>
              <w:pStyle w:val="Compact"/>
            </w:pPr>
            <w:r>
              <w:t xml:space="preserve">✅ Template provided</w:t>
            </w:r>
          </w:p>
        </w:tc>
      </w:tr>
      <w:tr>
        <w:tc>
          <w:tcPr/>
          <w:p>
            <w:pPr>
              <w:pStyle w:val="Compact"/>
            </w:pPr>
            <w:r>
              <w:t xml:space="preserve">PM-5</w:t>
            </w:r>
          </w:p>
        </w:tc>
        <w:tc>
          <w:tcPr/>
          <w:p>
            <w:pPr>
              <w:pStyle w:val="Compact"/>
            </w:pPr>
            <w:r>
              <w:t xml:space="preserve">System Inventory</w:t>
            </w:r>
          </w:p>
        </w:tc>
        <w:tc>
          <w:tcPr/>
          <w:p>
            <w:pPr>
              <w:pStyle w:val="Compact"/>
            </w:pPr>
            <w:r>
              <w:t xml:space="preserve">§4</w:t>
            </w:r>
          </w:p>
        </w:tc>
        <w:tc>
          <w:tcPr/>
          <w:p>
            <w:pPr>
              <w:pStyle w:val="Compact"/>
            </w:pPr>
            <w:r>
              <w:t xml:space="preserve">Inventory Framework</w:t>
            </w:r>
          </w:p>
        </w:tc>
        <w:tc>
          <w:tcPr/>
          <w:p>
            <w:pPr>
              <w:pStyle w:val="Compact"/>
            </w:pPr>
            <w:r>
              <w:t xml:space="preserve">✅ Template + automation</w:t>
            </w:r>
          </w:p>
        </w:tc>
      </w:tr>
      <w:tr>
        <w:tc>
          <w:tcPr/>
          <w:p>
            <w:pPr>
              <w:pStyle w:val="Compact"/>
            </w:pPr>
            <w:r>
              <w:t xml:space="preserve">PM-7</w:t>
            </w:r>
          </w:p>
        </w:tc>
        <w:tc>
          <w:tcPr/>
          <w:p>
            <w:pPr>
              <w:pStyle w:val="Compact"/>
            </w:pPr>
            <w:r>
              <w:t xml:space="preserve">Enterprise Architecture</w:t>
            </w:r>
          </w:p>
        </w:tc>
        <w:tc>
          <w:tcPr/>
          <w:p>
            <w:pPr>
              <w:pStyle w:val="Compact"/>
            </w:pPr>
            <w:r>
              <w:t xml:space="preserve">§2.2</w:t>
            </w:r>
          </w:p>
        </w:tc>
        <w:tc>
          <w:tcPr/>
          <w:p>
            <w:pPr>
              <w:pStyle w:val="Compact"/>
            </w:pPr>
            <w:r>
              <w:t xml:space="preserve">EA Integration</w:t>
            </w:r>
          </w:p>
        </w:tc>
        <w:tc>
          <w:tcPr/>
          <w:p>
            <w:pPr>
              <w:pStyle w:val="Compact"/>
            </w:pPr>
            <w:r>
              <w:t xml:space="preserve">✅ Architecture gates</w:t>
            </w:r>
          </w:p>
        </w:tc>
      </w:tr>
      <w:tr>
        <w:tc>
          <w:tcPr/>
          <w:p>
            <w:pPr>
              <w:pStyle w:val="Compact"/>
            </w:pPr>
            <w:r>
              <w:t xml:space="preserve">PM-9</w:t>
            </w:r>
          </w:p>
        </w:tc>
        <w:tc>
          <w:tcPr/>
          <w:p>
            <w:pPr>
              <w:pStyle w:val="Compact"/>
            </w:pPr>
            <w:r>
              <w:t xml:space="preserve">Risk Management Strategy</w:t>
            </w:r>
          </w:p>
        </w:tc>
        <w:tc>
          <w:tcPr/>
          <w:p>
            <w:pPr>
              <w:pStyle w:val="Compact"/>
            </w:pPr>
            <w:r>
              <w:t xml:space="preserve">§5</w:t>
            </w:r>
          </w:p>
        </w:tc>
        <w:tc>
          <w:tcPr/>
          <w:p>
            <w:pPr>
              <w:pStyle w:val="Compact"/>
            </w:pPr>
            <w:r>
              <w:t xml:space="preserve">Risk Register</w:t>
            </w:r>
          </w:p>
        </w:tc>
        <w:tc>
          <w:tcPr/>
          <w:p>
            <w:pPr>
              <w:pStyle w:val="Compact"/>
            </w:pPr>
            <w:r>
              <w:t xml:space="preserve">✅ Template provided</w:t>
            </w:r>
          </w:p>
        </w:tc>
      </w:tr>
      <w:tr>
        <w:tc>
          <w:tcPr/>
          <w:p>
            <w:pPr>
              <w:pStyle w:val="Compact"/>
            </w:pPr>
            <w:r>
              <w:t xml:space="preserve">PM-11</w:t>
            </w:r>
          </w:p>
        </w:tc>
        <w:tc>
          <w:tcPr/>
          <w:p>
            <w:pPr>
              <w:pStyle w:val="Compact"/>
            </w:pPr>
            <w:r>
              <w:t xml:space="preserve">Mission/Business Process Definition</w:t>
            </w:r>
          </w:p>
        </w:tc>
        <w:tc>
          <w:tcPr/>
          <w:p>
            <w:pPr>
              <w:pStyle w:val="Compact"/>
            </w:pPr>
            <w:r>
              <w:t xml:space="preserve">§2.3</w:t>
            </w:r>
          </w:p>
        </w:tc>
        <w:tc>
          <w:tcPr/>
          <w:p>
            <w:pPr>
              <w:pStyle w:val="Compact"/>
            </w:pPr>
            <w:r>
              <w:t xml:space="preserve">Mission Map</w:t>
            </w:r>
          </w:p>
        </w:tc>
        <w:tc>
          <w:tcPr/>
          <w:p>
            <w:pPr>
              <w:pStyle w:val="Compact"/>
            </w:pPr>
            <w:r>
              <w:t xml:space="preserve">✅ Template provided</w:t>
            </w:r>
          </w:p>
        </w:tc>
      </w:tr>
      <w:tr>
        <w:tc>
          <w:tcPr/>
          <w:p>
            <w:pPr>
              <w:pStyle w:val="Compact"/>
            </w:pPr>
            <w:r>
              <w:t xml:space="preserve">PM-14</w:t>
            </w:r>
          </w:p>
        </w:tc>
        <w:tc>
          <w:tcPr/>
          <w:p>
            <w:pPr>
              <w:pStyle w:val="Compact"/>
            </w:pPr>
            <w:r>
              <w:t xml:space="preserve">Testing, Training, and Monitoring</w:t>
            </w:r>
          </w:p>
        </w:tc>
        <w:tc>
          <w:tcPr/>
          <w:p>
            <w:pPr>
              <w:pStyle w:val="Compact"/>
            </w:pPr>
            <w:r>
              <w:t xml:space="preserve">§6</w:t>
            </w:r>
          </w:p>
        </w:tc>
        <w:tc>
          <w:tcPr/>
          <w:p>
            <w:pPr>
              <w:pStyle w:val="Compact"/>
            </w:pPr>
            <w:r>
              <w:t xml:space="preserve">T&amp;T&amp;M Plan</w:t>
            </w:r>
          </w:p>
        </w:tc>
        <w:tc>
          <w:tcPr/>
          <w:p>
            <w:pPr>
              <w:pStyle w:val="Compact"/>
            </w:pPr>
            <w:r>
              <w:t xml:space="preserve">✅ Template provided</w:t>
            </w:r>
          </w:p>
        </w:tc>
      </w:tr>
      <w:tr>
        <w:tc>
          <w:tcPr/>
          <w:p>
            <w:pPr>
              <w:pStyle w:val="Compact"/>
            </w:pPr>
            <w:r>
              <w:t xml:space="preserve">PM-15</w:t>
            </w:r>
          </w:p>
        </w:tc>
        <w:tc>
          <w:tcPr/>
          <w:p>
            <w:pPr>
              <w:pStyle w:val="Compact"/>
            </w:pPr>
            <w:r>
              <w:t xml:space="preserve">Security and Privacy Groups and Associations</w:t>
            </w:r>
          </w:p>
        </w:tc>
        <w:tc>
          <w:tcPr/>
          <w:p>
            <w:pPr>
              <w:pStyle w:val="Compact"/>
            </w:pPr>
            <w:r>
              <w:t xml:space="preserve">§7</w:t>
            </w:r>
          </w:p>
        </w:tc>
        <w:tc>
          <w:tcPr/>
          <w:p>
            <w:pPr>
              <w:pStyle w:val="Compact"/>
            </w:pPr>
            <w:r>
              <w:t xml:space="preserve">Contact Registry</w:t>
            </w:r>
          </w:p>
        </w:tc>
        <w:tc>
          <w:tcPr/>
          <w:p>
            <w:pPr>
              <w:pStyle w:val="Compact"/>
            </w:pPr>
            <w:r>
              <w:t xml:space="preserve">✅ Template provided</w:t>
            </w:r>
          </w:p>
        </w:tc>
      </w:tr>
      <w:tr>
        <w:tc>
          <w:tcPr/>
          <w:p>
            <w:pPr>
              <w:pStyle w:val="Compact"/>
            </w:pPr>
            <w:r>
              <w:t xml:space="preserve">PM-30</w:t>
            </w:r>
          </w:p>
        </w:tc>
        <w:tc>
          <w:tcPr/>
          <w:p>
            <w:pPr>
              <w:pStyle w:val="Compact"/>
            </w:pPr>
            <w:r>
              <w:t xml:space="preserve">Supply Chain Risk Management Strategy</w:t>
            </w:r>
          </w:p>
        </w:tc>
        <w:tc>
          <w:tcPr/>
          <w:p>
            <w:pPr>
              <w:pStyle w:val="Compact"/>
            </w:pPr>
            <w:r>
              <w:t xml:space="preserve">§8</w:t>
            </w:r>
          </w:p>
        </w:tc>
        <w:tc>
          <w:tcPr/>
          <w:p>
            <w:pPr>
              <w:pStyle w:val="Compact"/>
            </w:pPr>
            <w:r>
              <w:t xml:space="preserve">SCRM Charter</w:t>
            </w:r>
          </w:p>
        </w:tc>
        <w:tc>
          <w:tcPr/>
          <w:p>
            <w:pPr>
              <w:pStyle w:val="Compact"/>
            </w:pPr>
            <w:r>
              <w:t xml:space="preserve">✅ Template provided</w:t>
            </w:r>
          </w:p>
        </w:tc>
      </w:tr>
    </w:tbl>
    <w:p>
      <w:r>
        <w:pict>
          <v:rect style="width:0;height:1.5pt" o:hralign="center" o:hrstd="t" o:hr="t"/>
        </w:pict>
      </w:r>
    </w:p>
    <w:bookmarkEnd w:id="52"/>
    <w:bookmarkStart w:id="53" w:name="Xd3e033429ffb290f02b12ffa9eed69aeb0b19ff"/>
    <w:p>
      <w:pPr>
        <w:pStyle w:val="Heading1"/>
      </w:pPr>
      <w:r>
        <w:t xml:space="preserve">10. Appendix B — Integration with Compliance Technical Series</w:t>
      </w:r>
    </w:p>
    <w:tbl>
      <w:tblPr>
        <w:tblStyle w:val="Table"/>
        <w:tblW w:type="pct" w:w="5000"/>
        <w:tblLayout w:type="fixed"/>
        <w:tblLook w:firstRow="1" w:lastRow="0" w:firstColumn="0" w:lastColumn="0" w:noHBand="0" w:noVBand="0" w:val="0020"/>
      </w:tblPr>
      <w:tblGrid>
        <w:gridCol w:w="2329"/>
        <w:gridCol w:w="5590"/>
      </w:tblGrid>
      <w:tr>
        <w:trPr>
          <w:tblHeader w:val="on"/>
        </w:trPr>
        <w:tc>
          <w:tcPr/>
          <w:p>
            <w:pPr>
              <w:pStyle w:val="Compact"/>
            </w:pPr>
            <w:r>
              <w:t xml:space="preserve">Compliance Book</w:t>
            </w:r>
          </w:p>
        </w:tc>
        <w:tc>
          <w:tcPr/>
          <w:p>
            <w:pPr>
              <w:pStyle w:val="Compact"/>
            </w:pPr>
            <w:r>
              <w:t xml:space="preserve">PM Control Dependencies</w:t>
            </w:r>
          </w:p>
        </w:tc>
      </w:tr>
      <w:tr>
        <w:tc>
          <w:tcPr/>
          <w:p>
            <w:pPr>
              <w:pStyle w:val="Compact"/>
            </w:pPr>
            <w:r>
              <w:t xml:space="preserve">Vol I Book 05 (Entra ID / ZTNA)</w:t>
            </w:r>
          </w:p>
        </w:tc>
        <w:tc>
          <w:tcPr/>
          <w:p>
            <w:pPr>
              <w:pStyle w:val="Compact"/>
            </w:pPr>
            <w:r>
              <w:t xml:space="preserve">PM-5 (system inventory — identity plane)</w:t>
            </w:r>
          </w:p>
        </w:tc>
      </w:tr>
      <w:tr>
        <w:tc>
          <w:tcPr/>
          <w:p>
            <w:pPr>
              <w:pStyle w:val="Compact"/>
            </w:pPr>
            <w:r>
              <w:t xml:space="preserve">Vol III Book 02 (Defender VM)</w:t>
            </w:r>
          </w:p>
        </w:tc>
        <w:tc>
          <w:tcPr/>
          <w:p>
            <w:pPr>
              <w:pStyle w:val="Compact"/>
            </w:pPr>
            <w:r>
              <w:t xml:space="preserve">PM-14 (testing — vulnerability scan cadence)</w:t>
            </w:r>
          </w:p>
        </w:tc>
      </w:tr>
      <w:tr>
        <w:tc>
          <w:tcPr/>
          <w:p>
            <w:pPr>
              <w:pStyle w:val="Compact"/>
            </w:pPr>
            <w:r>
              <w:t xml:space="preserve">Vol III Book 05 (Purview / Key Vault)</w:t>
            </w:r>
          </w:p>
        </w:tc>
        <w:tc>
          <w:tcPr/>
          <w:p>
            <w:pPr>
              <w:pStyle w:val="Compact"/>
            </w:pPr>
            <w:r>
              <w:t xml:space="preserve">PM-11 (mission mapping — PII-bearing processes)</w:t>
            </w:r>
          </w:p>
        </w:tc>
      </w:tr>
      <w:tr>
        <w:tc>
          <w:tcPr/>
          <w:p>
            <w:pPr>
              <w:pStyle w:val="Compact"/>
            </w:pPr>
            <w:r>
              <w:t xml:space="preserve">Vol III Book 06 (Sentinel)</w:t>
            </w:r>
          </w:p>
        </w:tc>
        <w:tc>
          <w:tcPr/>
          <w:p>
            <w:pPr>
              <w:pStyle w:val="Compact"/>
            </w:pPr>
            <w:r>
              <w:t xml:space="preserve">PM-14 (monitoring program — Sentinel workbooks)</w:t>
            </w:r>
          </w:p>
        </w:tc>
      </w:tr>
      <w:tr>
        <w:tc>
          <w:tcPr/>
          <w:p>
            <w:pPr>
              <w:pStyle w:val="Compact"/>
            </w:pPr>
            <w:r>
              <w:t xml:space="preserve">Vol IV Book 01 (Contingency)</w:t>
            </w:r>
          </w:p>
        </w:tc>
        <w:tc>
          <w:tcPr/>
          <w:p>
            <w:pPr>
              <w:pStyle w:val="Compact"/>
            </w:pPr>
            <w:r>
              <w:t xml:space="preserve">PM-9 (risk register — RTO/RPO inputs)</w:t>
            </w:r>
          </w:p>
        </w:tc>
      </w:tr>
      <w:tr>
        <w:tc>
          <w:tcPr/>
          <w:p>
            <w:pPr>
              <w:pStyle w:val="Compact"/>
            </w:pPr>
            <w:r>
              <w:t xml:space="preserve">Vol IV Book 02 (SBOM/VDR/VEX)</w:t>
            </w:r>
          </w:p>
        </w:tc>
        <w:tc>
          <w:tcPr/>
          <w:p>
            <w:pPr>
              <w:pStyle w:val="Compact"/>
            </w:pPr>
            <w:r>
              <w:t xml:space="preserve">PM-30 (SCRM charter — technical backbone)</w:t>
            </w:r>
          </w:p>
        </w:tc>
      </w:tr>
      <w:tr>
        <w:tc>
          <w:tcPr/>
          <w:p>
            <w:pPr>
              <w:pStyle w:val="Compact"/>
            </w:pPr>
            <w:r>
              <w:rPr>
                <w:b/>
                <w:bCs/>
              </w:rPr>
              <w:t xml:space="preserve">Vol IV Book 03 (this document)</w:t>
            </w:r>
          </w:p>
        </w:tc>
        <w:tc>
          <w:tcPr/>
          <w:p>
            <w:pPr>
              <w:pStyle w:val="Compact"/>
            </w:pPr>
            <w:r>
              <w:t xml:space="preserve">PM-1, PM-2, PM-5, PM-7, PM-9, PM-11, PM-14, PM-15, PM-30</w:t>
            </w:r>
          </w:p>
        </w:tc>
      </w:tr>
    </w:tbl>
    <w:p>
      <w:pPr>
        <w:pStyle w:val="BodyText"/>
      </w:pPr>
      <w:r>
        <w:t xml:space="preserve">The PM governance artifacts in Vol IV Book 03 provide the organizational layer that</w:t>
      </w:r>
      <w:r>
        <w:t xml:space="preserve"> </w:t>
      </w:r>
      <w:r>
        <w:t xml:space="preserve">contextualizes the technical evidence from the Volume I–IV technical books that</w:t>
      </w:r>
      <w:r>
        <w:t xml:space="preserve"> </w:t>
      </w:r>
      <w:r>
        <w:t xml:space="preserve">precede it. Together they form a</w:t>
      </w:r>
      <w:r>
        <w:t xml:space="preserve"> </w:t>
      </w:r>
      <w:r>
        <w:t xml:space="preserve">complete agency RMF authorization package (ConMon evidence modeled on the</w:t>
      </w:r>
      <w:r>
        <w:t xml:space="preserve"> </w:t>
      </w:r>
      <w:r>
        <w:t xml:space="preserve">FedRAMP 20x KSI schema) for the PM and SR control families.</w:t>
      </w:r>
    </w:p>
    <w:bookmarkEnd w:id="5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IV Book 03 — Federal Compliance — Program Management &amp; Governance</dc:title>
  <dc:creator>Federal Cloud Services</dc:creator>
  <cp:keywords/>
  <dcterms:created xsi:type="dcterms:W3CDTF">2026-10-19T10:09:58Z</dcterms:created>
  <dcterms:modified xsi:type="dcterms:W3CDTF">2026-10-19T10:09:58Z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2026-07-08 20:07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Program Management Governance: Security Program Plan, POA&amp;M Framework, and SCRM Charter for FedRAMP 20x</vt:lpwstr>
  </property>
  <property fmtid="{D5CDD505-2E9C-101B-9397-08002B2CF9AE}" pid="16" name="toc-title">
    <vt:lpwstr>Table of contents</vt:lpwstr>
  </property>
</Properties>
</file>