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 IV Book 04 — Federal Compliance — PII Processing and Transparency</w:t>
      </w:r>
    </w:p>
    <w:p>
      <w:pPr>
        <w:pStyle w:val="Subtitle"/>
      </w:pPr>
      <w:r>
        <w:t xml:space="preserve">PII Processing and Transparency: Privacy Program Templates for FedRAMP 20x GCC Moderate Authorization</w:t>
      </w:r>
    </w:p>
    <w:p>
      <w:pPr>
        <w:pStyle w:val="Author"/>
      </w:pPr>
      <w:r>
        <w:t xml:space="preserve">Federal Cloud Services</w:t>
      </w:r>
    </w:p>
    <w:p>
      <w:pPr>
        <w:pStyle w:val="Date"/>
      </w:pPr>
      <w:r>
        <w:t xml:space="preserve">2026-07-08 20:07 ET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draft-proposal-subject-to-review"/>
    <w:p>
      <w:pPr>
        <w:pStyle w:val="Heading2"/>
      </w:pPr>
      <w:r>
        <w:t xml:space="preserve">0.1 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2026-07-08 16:07 ET</w:t>
      </w:r>
    </w:p>
    <w:bookmarkEnd w:id="9"/>
    <w:bookmarkStart w:id="10" w:name="what-this-document-addresses"/>
    <w:p>
      <w:pPr>
        <w:pStyle w:val="Heading2"/>
      </w:pPr>
      <w:r>
        <w:t xml:space="preserve">0.2 What This Document Addresses</w:t>
      </w:r>
    </w:p>
    <w:p>
      <w:pPr>
        <w:pStyle w:val="FirstParagraph"/>
      </w:pPr>
      <w:r>
        <w:t xml:space="preserve">Federal systems that process Personally Identifiable Information (PII) carry</w:t>
      </w:r>
      <w:r>
        <w:t xml:space="preserve"> </w:t>
      </w:r>
      <w:r>
        <w:t xml:space="preserve">obligations beyond the security control baseline. The NIST SP 800-53 Rev 5</w:t>
      </w:r>
      <w:r>
        <w:t xml:space="preserve"> </w:t>
      </w:r>
      <w:r>
        <w:t xml:space="preserve">Personally Identifiable Information Processing and Transparency (PT) control</w:t>
      </w:r>
      <w:r>
        <w:t xml:space="preserve"> </w:t>
      </w:r>
      <w:r>
        <w:t xml:space="preserve">family codifies those obligations as auditable, ATO-ready</w:t>
      </w:r>
      <w:r>
        <w:t xml:space="preserve"> </w:t>
      </w:r>
      <w:r>
        <w:t xml:space="preserve">requirements: an agency must be able to demonstrate</w:t>
      </w:r>
      <w:r>
        <w:t xml:space="preserve"> </w:t>
      </w:r>
      <w:r>
        <w:rPr>
          <w:i/>
          <w:iCs/>
        </w:rPr>
        <w:t xml:space="preserve">why</w:t>
      </w:r>
      <w:r>
        <w:t xml:space="preserve"> </w:t>
      </w:r>
      <w:r>
        <w:t xml:space="preserve">it collects PII,</w:t>
      </w:r>
      <w:r>
        <w:t xml:space="preserve"> </w:t>
      </w:r>
      <w:r>
        <w:rPr>
          <w:i/>
          <w:iCs/>
        </w:rPr>
        <w:t xml:space="preserve">what</w:t>
      </w:r>
      <w:r>
        <w:t xml:space="preserve"> </w:t>
      </w:r>
      <w:r>
        <w:t xml:space="preserve">authority permits collection,</w:t>
      </w:r>
      <w:r>
        <w:t xml:space="preserve"> </w:t>
      </w:r>
      <w:r>
        <w:rPr>
          <w:i/>
          <w:iCs/>
        </w:rPr>
        <w:t xml:space="preserve">how</w:t>
      </w:r>
      <w:r>
        <w:t xml:space="preserve"> </w:t>
      </w:r>
      <w:r>
        <w:t xml:space="preserve">individuals are notified, and</w:t>
      </w:r>
      <w:r>
        <w:t xml:space="preserve"> </w:t>
      </w:r>
      <w:r>
        <w:rPr>
          <w:i/>
          <w:iCs/>
        </w:rPr>
        <w:t xml:space="preserve">where</w:t>
      </w:r>
      <w:r>
        <w:t xml:space="preserve"> </w:t>
      </w:r>
      <w:r>
        <w:t xml:space="preserve">special categories receive heightened protection. Without this documentation,</w:t>
      </w:r>
      <w:r>
        <w:t xml:space="preserve"> </w:t>
      </w:r>
      <w:r>
        <w:t xml:space="preserve">a FedRAMP Moderate system that touches citizen data cannot complete a privacy-</w:t>
      </w:r>
      <w:r>
        <w:t xml:space="preserve"> </w:t>
      </w:r>
      <w:r>
        <w:t xml:space="preserve">sensitive ATO boundary without a significant POA&amp;M gap.</w:t>
      </w:r>
    </w:p>
    <w:p>
      <w:pPr>
        <w:pStyle w:val="BodyText"/>
      </w:pPr>
      <w:r>
        <w:t xml:space="preserve">This document provides:</w:t>
      </w:r>
    </w:p>
    <w:p>
      <w:pPr>
        <w:pStyle w:val="Compact"/>
        <w:numPr>
          <w:ilvl w:val="0"/>
          <w:numId w:val="1001"/>
        </w:numPr>
      </w:pPr>
      <w:r>
        <w:rPr>
          <w:b/>
          <w:bCs/>
        </w:rPr>
        <w:t xml:space="preserve">Privacy Program Plan Template (PT-1)</w:t>
      </w:r>
      <w:r>
        <w:t xml:space="preserve"> </w:t>
      </w:r>
      <w:r>
        <w:t xml:space="preserve">— organizational privacy governance</w:t>
      </w:r>
      <w:r>
        <w:t xml:space="preserve"> </w:t>
      </w:r>
      <w:r>
        <w:t xml:space="preserve">structure with SAOP accountability, authority citations, and program cadence</w:t>
      </w:r>
    </w:p>
    <w:p>
      <w:pPr>
        <w:pStyle w:val="Compact"/>
        <w:numPr>
          <w:ilvl w:val="0"/>
          <w:numId w:val="1001"/>
        </w:numPr>
      </w:pPr>
      <w:r>
        <w:rPr>
          <w:b/>
          <w:bCs/>
        </w:rPr>
        <w:t xml:space="preserve">Authority to Process Template (PT-2)</w:t>
      </w:r>
      <w:r>
        <w:t xml:space="preserve"> </w:t>
      </w:r>
      <w:r>
        <w:t xml:space="preserve">— legal basis matrix linking each</w:t>
      </w:r>
      <w:r>
        <w:t xml:space="preserve"> </w:t>
      </w:r>
      <w:r>
        <w:t xml:space="preserve">PII category to its authorizing statute, SORN reference, and retention period</w:t>
      </w:r>
    </w:p>
    <w:p>
      <w:pPr>
        <w:pStyle w:val="Compact"/>
        <w:numPr>
          <w:ilvl w:val="0"/>
          <w:numId w:val="1001"/>
        </w:numPr>
      </w:pPr>
      <w:r>
        <w:rPr>
          <w:b/>
          <w:bCs/>
        </w:rPr>
        <w:t xml:space="preserve">Purpose Specification Template (PT-3)</w:t>
      </w:r>
      <w:r>
        <w:t xml:space="preserve"> </w:t>
      </w:r>
      <w:r>
        <w:t xml:space="preserve">— purpose-limitation framework with</w:t>
      </w:r>
      <w:r>
        <w:t xml:space="preserve"> </w:t>
      </w:r>
      <w:r>
        <w:t xml:space="preserve">Purview Data Map attribute mapping for automated enforcement</w:t>
      </w:r>
    </w:p>
    <w:p>
      <w:pPr>
        <w:pStyle w:val="Compact"/>
        <w:numPr>
          <w:ilvl w:val="0"/>
          <w:numId w:val="1001"/>
        </w:numPr>
      </w:pPr>
      <w:r>
        <w:rPr>
          <w:b/>
          <w:bCs/>
        </w:rPr>
        <w:t xml:space="preserve">Consent Requirements Template (PT-4)</w:t>
      </w:r>
      <w:r>
        <w:t xml:space="preserve"> </w:t>
      </w:r>
      <w:r>
        <w:t xml:space="preserve">— consent mechanism matrix covering</w:t>
      </w:r>
      <w:r>
        <w:t xml:space="preserve"> </w:t>
      </w:r>
      <w:r>
        <w:t xml:space="preserve">web forms, automated collection, and inter-agency data sharing</w:t>
      </w:r>
    </w:p>
    <w:p>
      <w:pPr>
        <w:pStyle w:val="Compact"/>
        <w:numPr>
          <w:ilvl w:val="0"/>
          <w:numId w:val="1001"/>
        </w:numPr>
      </w:pPr>
      <w:r>
        <w:rPr>
          <w:b/>
          <w:bCs/>
        </w:rPr>
        <w:t xml:space="preserve">Privacy Notice Template (PT-5)</w:t>
      </w:r>
      <w:r>
        <w:t xml:space="preserve"> </w:t>
      </w:r>
      <w:r>
        <w:t xml:space="preserve">— OMB M-03-22 compliant model notice with</w:t>
      </w:r>
      <w:r>
        <w:t xml:space="preserve"> </w:t>
      </w:r>
      <w:r>
        <w:t xml:space="preserve">machine-accessible URL requirement for FedRAMP 20x SSPs</w:t>
      </w:r>
    </w:p>
    <w:p>
      <w:pPr>
        <w:pStyle w:val="Compact"/>
        <w:numPr>
          <w:ilvl w:val="0"/>
          <w:numId w:val="1001"/>
        </w:numPr>
      </w:pPr>
      <w:r>
        <w:rPr>
          <w:b/>
          <w:bCs/>
        </w:rPr>
        <w:t xml:space="preserve">Special Categories Framework (PT-7)</w:t>
      </w:r>
      <w:r>
        <w:t xml:space="preserve"> </w:t>
      </w:r>
      <w:r>
        <w:t xml:space="preserve">— heightened protection requirements</w:t>
      </w:r>
      <w:r>
        <w:t xml:space="preserve"> </w:t>
      </w:r>
      <w:r>
        <w:t xml:space="preserve">for SSN, PHI, biometrics, and other sensitive PII categories</w:t>
      </w:r>
    </w:p>
    <w:p>
      <w:pPr>
        <w:pStyle w:val="Compact"/>
        <w:numPr>
          <w:ilvl w:val="0"/>
          <w:numId w:val="1001"/>
        </w:numPr>
      </w:pPr>
      <w:r>
        <w:rPr>
          <w:b/>
          <w:bCs/>
        </w:rPr>
        <w:t xml:space="preserve">PII Data Flow Map Template</w:t>
      </w:r>
      <w:r>
        <w:t xml:space="preserve"> </w:t>
      </w:r>
      <w:r>
        <w:t xml:space="preserve">— end-to-end flow documentation for citizen</w:t>
      </w:r>
      <w:r>
        <w:t xml:space="preserve"> </w:t>
      </w:r>
      <w:r>
        <w:t xml:space="preserve">portal, contact center, HR, and cross-agency sharing scenarios</w:t>
      </w:r>
    </w:p>
    <w:p>
      <w:pPr>
        <w:pStyle w:val="Compact"/>
        <w:numPr>
          <w:ilvl w:val="0"/>
          <w:numId w:val="1001"/>
        </w:numPr>
      </w:pPr>
      <w:r>
        <w:rPr>
          <w:b/>
          <w:bCs/>
        </w:rPr>
        <w:t xml:space="preserve">FedRAMP 20x KSI Alignment</w:t>
      </w:r>
      <w:r>
        <w:t xml:space="preserve"> </w:t>
      </w:r>
      <w:r>
        <w:t xml:space="preserve">— compliance milestones and control closure</w:t>
      </w:r>
      <w:r>
        <w:t xml:space="preserve"> </w:t>
      </w:r>
      <w:r>
        <w:t xml:space="preserve">traceability across the PT family</w:t>
      </w:r>
    </w:p>
    <w:p>
      <w:pPr>
        <w:pStyle w:val="FirstParagraph"/>
      </w:pPr>
      <w:r>
        <w:t xml:space="preserve">Together these artifacts close six NIST SP 800-53 Rev 5 PT family controls</w:t>
      </w:r>
      <w:r>
        <w:t xml:space="preserve"> </w:t>
      </w:r>
      <w:r>
        <w:t xml:space="preserve">(PT-1, PT-2, PT-3, PT-4, PT-5, PT-7), satisfy Privacy Act 1974 and E-Gov Act</w:t>
      </w:r>
      <w:r>
        <w:t xml:space="preserve"> </w:t>
      </w:r>
      <w:r>
        <w:t xml:space="preserve">2002 documentation requirements, and provide the Privacy Impact Assessment (PIA)</w:t>
      </w:r>
      <w:r>
        <w:t xml:space="preserve"> </w:t>
      </w:r>
      <w:r>
        <w:t xml:space="preserve">scaffolding required at system boundary establishment for all Agency GCC Moderate</w:t>
      </w:r>
      <w:r>
        <w:t xml:space="preserve"> </w:t>
      </w:r>
      <w:r>
        <w:t xml:space="preserve">systems that process PII.</w:t>
      </w:r>
    </w:p>
    <w:p>
      <w:r>
        <w:pict>
          <v:rect style="width:0;height:1.5pt" o:hralign="center" o:hrstd="t" o:hr="t"/>
        </w:pict>
      </w:r>
    </w:p>
    <w:bookmarkEnd w:id="10"/>
    <w:bookmarkStart w:id="13" w:name="purpose-and-scope"/>
    <w:p>
      <w:pPr>
        <w:pStyle w:val="Heading1"/>
      </w:pPr>
      <w:r>
        <w:t xml:space="preserve">1. Purpose and Scope</w:t>
      </w:r>
    </w:p>
    <w:bookmarkStart w:id="11" w:name="document-purpose"/>
    <w:p>
      <w:pPr>
        <w:pStyle w:val="Heading2"/>
      </w:pPr>
      <w:r>
        <w:t xml:space="preserve">1.1 Document Purpose</w:t>
      </w:r>
    </w:p>
    <w:p>
      <w:pPr>
        <w:pStyle w:val="FirstParagraph"/>
      </w:pPr>
      <w:r>
        <w:t xml:space="preserve">This document closes the Personally Identifiable Information Processing and</w:t>
      </w:r>
      <w:r>
        <w:t xml:space="preserve"> </w:t>
      </w:r>
      <w:r>
        <w:t xml:space="preserve">Transparency (PT) control family gap for</w:t>
      </w:r>
      <w:r>
        <w:t xml:space="preserve"> </w:t>
      </w:r>
      <w:r>
        <w:t xml:space="preserve">FedRAMP 20x GCC Moderate systems operated by or on behalf of</w:t>
      </w:r>
      <w:r>
        <w:t xml:space="preserve"> </w:t>
      </w:r>
      <w:r>
        <w:t xml:space="preserve">Agency. The PT control family is the documentation layer that</w:t>
      </w:r>
      <w:r>
        <w:t xml:space="preserve"> </w:t>
      </w:r>
      <w:r>
        <w:t xml:space="preserve">converts statutory privacy obligations into auditable program artifacts.</w:t>
      </w:r>
    </w:p>
    <w:p>
      <w:pPr>
        <w:pStyle w:val="BodyText"/>
      </w:pPr>
      <w:r>
        <w:rPr>
          <w:b/>
          <w:bCs/>
        </w:rPr>
        <w:t xml:space="preserve">Relationship to Prior Parts in This Series:</w:t>
      </w:r>
    </w:p>
    <w:p>
      <w:pPr>
        <w:pStyle w:val="Compact"/>
        <w:numPr>
          <w:ilvl w:val="0"/>
          <w:numId w:val="1002"/>
        </w:numPr>
      </w:pPr>
      <w:r>
        <w:rPr>
          <w:b/>
          <w:bCs/>
        </w:rPr>
        <w:t xml:space="preserve">Vol III Book 05 (Purview + Key Vault)</w:t>
      </w:r>
      <w:r>
        <w:t xml:space="preserve"> </w:t>
      </w:r>
      <w:r>
        <w:t xml:space="preserve">— established the technical data</w:t>
      </w:r>
      <w:r>
        <w:t xml:space="preserve"> </w:t>
      </w:r>
      <w:r>
        <w:t xml:space="preserve">classification, sensitivity labeling, and encryption controls that enforce</w:t>
      </w:r>
      <w:r>
        <w:t xml:space="preserve"> </w:t>
      </w:r>
      <w:r>
        <w:t xml:space="preserve">the policies defined in this document. PT-3 purpose fields are mapped to</w:t>
      </w:r>
      <w:r>
        <w:t xml:space="preserve"> </w:t>
      </w:r>
      <w:r>
        <w:t xml:space="preserve">Purview Data Map custom attributes; PT-7 special categories are enforced</w:t>
      </w:r>
      <w:r>
        <w:t xml:space="preserve"> </w:t>
      </w:r>
      <w:r>
        <w:t xml:space="preserve">through auto-labeling rules defined in Vol III Book 05.</w:t>
      </w:r>
    </w:p>
    <w:p>
      <w:pPr>
        <w:pStyle w:val="Compact"/>
        <w:numPr>
          <w:ilvl w:val="0"/>
          <w:numId w:val="1002"/>
        </w:numPr>
      </w:pPr>
      <w:r>
        <w:rPr>
          <w:b/>
          <w:bCs/>
        </w:rPr>
        <w:t xml:space="preserve">Vol IV Book 03 (Program Management Governance)</w:t>
      </w:r>
      <w:r>
        <w:t xml:space="preserve"> </w:t>
      </w:r>
      <w:r>
        <w:t xml:space="preserve">— established the organizational</w:t>
      </w:r>
      <w:r>
        <w:t xml:space="preserve"> </w:t>
      </w:r>
      <w:r>
        <w:t xml:space="preserve">governance structure within which this Privacy Program Plan operates. PT-1</w:t>
      </w:r>
      <w:r>
        <w:t xml:space="preserve"> </w:t>
      </w:r>
      <w:r>
        <w:t xml:space="preserve">is the privacy complement to the PM-1 Information Security Program Plan (ISPP);</w:t>
      </w:r>
      <w:r>
        <w:t xml:space="preserve"> </w:t>
      </w:r>
      <w:r>
        <w:t xml:space="preserve">they share the same SAOP/CISO leadership cadence and the same AO approval chain.</w:t>
      </w:r>
      <w:r>
        <w:t xml:space="preserve"> </w:t>
      </w:r>
      <w:r>
        <w:t xml:space="preserve">The RACI defined in Vol IV Book 03 §3 assigns Privacy Officer accountability across</w:t>
      </w:r>
      <w:r>
        <w:t xml:space="preserve"> </w:t>
      </w:r>
      <w:r>
        <w:t xml:space="preserve">all PT controls.</w:t>
      </w:r>
    </w:p>
    <w:bookmarkEnd w:id="11"/>
    <w:bookmarkStart w:id="12" w:name="scope"/>
    <w:p>
      <w:pPr>
        <w:pStyle w:val="Heading2"/>
      </w:pPr>
      <w:r>
        <w:t xml:space="preserve">1.2 Scope</w:t>
      </w:r>
    </w:p>
    <w:p>
      <w:pPr>
        <w:pStyle w:val="FirstParagraph"/>
      </w:pPr>
      <w:r>
        <w:t xml:space="preserve">This document applies to any Agency GCC Moderate system that processes PII, including</w:t>
      </w:r>
      <w:r>
        <w:t xml:space="preserve"> </w:t>
      </w:r>
      <w:r>
        <w:t xml:space="preserve">but not limited to:</w:t>
      </w:r>
    </w:p>
    <w:p>
      <w:pPr>
        <w:pStyle w:val="Compact"/>
        <w:numPr>
          <w:ilvl w:val="0"/>
          <w:numId w:val="1003"/>
        </w:numPr>
      </w:pPr>
      <w:r>
        <w:rPr>
          <w:b/>
          <w:bCs/>
        </w:rPr>
        <w:t xml:space="preserve">Citizen portals</w:t>
      </w:r>
      <w:r>
        <w:t xml:space="preserve"> </w:t>
      </w:r>
      <w:r>
        <w:t xml:space="preserve">— my Social Security, online benefit applications, appeals</w:t>
      </w:r>
      <w:r>
        <w:t xml:space="preserve"> </w:t>
      </w:r>
      <w:r>
        <w:t xml:space="preserve">submissions</w:t>
      </w:r>
    </w:p>
    <w:p>
      <w:pPr>
        <w:pStyle w:val="Compact"/>
        <w:numPr>
          <w:ilvl w:val="0"/>
          <w:numId w:val="1003"/>
        </w:numPr>
      </w:pPr>
      <w:r>
        <w:rPr>
          <w:b/>
          <w:bCs/>
        </w:rPr>
        <w:t xml:space="preserve">Contact center platforms</w:t>
      </w:r>
      <w:r>
        <w:t xml:space="preserve"> </w:t>
      </w:r>
      <w:r>
        <w:t xml:space="preserve">— Amazon Connect deployments handling citizen</w:t>
      </w:r>
      <w:r>
        <w:t xml:space="preserve"> </w:t>
      </w:r>
      <w:r>
        <w:t xml:space="preserve">calls and case management (CRM integration)</w:t>
      </w:r>
    </w:p>
    <w:p>
      <w:pPr>
        <w:pStyle w:val="Compact"/>
        <w:numPr>
          <w:ilvl w:val="0"/>
          <w:numId w:val="1003"/>
        </w:numPr>
      </w:pPr>
      <w:r>
        <w:rPr>
          <w:b/>
          <w:bCs/>
        </w:rPr>
        <w:t xml:space="preserve">HR and workforce systems</w:t>
      </w:r>
      <w:r>
        <w:t xml:space="preserve"> </w:t>
      </w:r>
      <w:r>
        <w:t xml:space="preserve">— employee records, payroll, benefits</w:t>
      </w:r>
      <w:r>
        <w:t xml:space="preserve"> </w:t>
      </w:r>
      <w:r>
        <w:t xml:space="preserve">administration within the Agency Azure GCC Moderate boundary</w:t>
      </w:r>
    </w:p>
    <w:p>
      <w:pPr>
        <w:pStyle w:val="Compact"/>
        <w:numPr>
          <w:ilvl w:val="0"/>
          <w:numId w:val="1003"/>
        </w:numPr>
      </w:pPr>
      <w:r>
        <w:rPr>
          <w:b/>
          <w:bCs/>
        </w:rPr>
        <w:t xml:space="preserve">API integrations</w:t>
      </w:r>
      <w:r>
        <w:t xml:space="preserve"> </w:t>
      </w:r>
      <w:r>
        <w:t xml:space="preserve">— cross-agency data sharing with HHS, CMS, IRS, and</w:t>
      </w:r>
      <w:r>
        <w:t xml:space="preserve"> </w:t>
      </w:r>
      <w:r>
        <w:t xml:space="preserve">state agencies under data-sharing agreements</w:t>
      </w:r>
    </w:p>
    <w:p>
      <w:pPr>
        <w:pStyle w:val="FirstParagraph"/>
      </w:pPr>
      <w:r>
        <w:t xml:space="preserve">Systems that do not process PII (infrastructure-only, analytics on de-identified</w:t>
      </w:r>
      <w:r>
        <w:t xml:space="preserve"> </w:t>
      </w:r>
      <w:r>
        <w:t xml:space="preserve">data) are out of scope for PT controls but remain subject to all other control</w:t>
      </w:r>
      <w:r>
        <w:t xml:space="preserve"> </w:t>
      </w:r>
      <w:r>
        <w:t xml:space="preserve">families.</w:t>
      </w:r>
    </w:p>
    <w:p>
      <w:r>
        <w:pict>
          <v:rect style="width:0;height:1.5pt" o:hralign="center" o:hrstd="t" o:hr="t"/>
        </w:pict>
      </w:r>
    </w:p>
    <w:bookmarkEnd w:id="12"/>
    <w:bookmarkEnd w:id="13"/>
    <w:bookmarkStart w:id="16" w:name="privacy-program-plan-pt-1"/>
    <w:p>
      <w:pPr>
        <w:pStyle w:val="Heading1"/>
      </w:pPr>
      <w:r>
        <w:t xml:space="preserve">2. Privacy Program Plan (PT-1)</w:t>
      </w:r>
    </w:p>
    <w:bookmarkStart w:id="14" w:name="control-requirement"/>
    <w:p>
      <w:pPr>
        <w:pStyle w:val="Heading2"/>
      </w:pPr>
      <w:r>
        <w:t xml:space="preserve">2.1 Control Requirement</w:t>
      </w:r>
    </w:p>
    <w:p>
      <w:pPr>
        <w:pStyle w:val="FirstParagraph"/>
      </w:pPr>
      <w:r>
        <w:t xml:space="preserve">PT-1 requires the organization to develop, document, disseminate, and review a</w:t>
      </w:r>
      <w:r>
        <w:t xml:space="preserve"> </w:t>
      </w:r>
      <w:r>
        <w:t xml:space="preserve">privacy policy and procedures that address the purpose, scope, roles,</w:t>
      </w:r>
      <w:r>
        <w:t xml:space="preserve"> </w:t>
      </w:r>
      <w:r>
        <w:t xml:space="preserve">responsibilities, management commitment, coordination, and compliance for</w:t>
      </w:r>
      <w:r>
        <w:t xml:space="preserve"> </w:t>
      </w:r>
      <w:r>
        <w:t xml:space="preserve">the privacy program.</w:t>
      </w:r>
    </w:p>
    <w:p>
      <w:pPr>
        <w:pStyle w:val="BodyText"/>
      </w:pPr>
      <w:r>
        <w:rPr>
          <w:b/>
          <w:bCs/>
        </w:rPr>
        <w:t xml:space="preserve">Linkage:</w:t>
      </w:r>
      <w:r>
        <w:t xml:space="preserve"> </w:t>
      </w:r>
      <w:r>
        <w:t xml:space="preserve">PT-1 is the privacy parallel to PM-1 (ISPP, Vol IV Book 03 §2). The</w:t>
      </w:r>
      <w:r>
        <w:t xml:space="preserve"> </w:t>
      </w:r>
      <w:r>
        <w:t xml:space="preserve">Privacy Program Plan must be co-signed by both the SAISO/CISO and the Senior</w:t>
      </w:r>
      <w:r>
        <w:t xml:space="preserve"> </w:t>
      </w:r>
      <w:r>
        <w:t xml:space="preserve">Agency Official for Privacy (SAOP), and reviewed on the same annual cadence</w:t>
      </w:r>
      <w:r>
        <w:t xml:space="preserve"> </w:t>
      </w:r>
      <w:r>
        <w:t xml:space="preserve">as the ISPP. Cross-reference Vol IV Book 03 §3 RACI for the Privacy Officer role.</w:t>
      </w:r>
    </w:p>
    <w:bookmarkEnd w:id="14"/>
    <w:bookmarkStart w:id="15" w:name="privacy-program-plan-template"/>
    <w:p>
      <w:pPr>
        <w:pStyle w:val="Heading2"/>
      </w:pPr>
      <w:r>
        <w:t xml:space="preserve">2.2 Privacy Program Plan Template</w:t>
      </w:r>
    </w:p>
    <w:p>
      <w:pPr>
        <w:pStyle w:val="FirstParagraph"/>
      </w:pPr>
      <w:r>
        <w:rPr>
          <w:b/>
          <w:bCs/>
        </w:rPr>
        <w:t xml:space="preserve">Section 1 — Purpose and Scope</w:t>
      </w:r>
    </w:p>
    <w:p>
      <w:pPr>
        <w:pStyle w:val="BlockText"/>
      </w:pPr>
      <w:r>
        <w:t xml:space="preserve">[FILLABLE] This Privacy Program Plan (PPP) establishes the privacy governance</w:t>
      </w:r>
      <w:r>
        <w:t xml:space="preserve"> </w:t>
      </w:r>
      <w:r>
        <w:t xml:space="preserve">framework for [SYSTEM NAME], a GCC Moderate impact system operated by the</w:t>
      </w:r>
      <w:r>
        <w:t xml:space="preserve"> </w:t>
      </w:r>
      <w:r>
        <w:t xml:space="preserve">Agency under FedRAMP 20x Authorization. This plan</w:t>
      </w:r>
      <w:r>
        <w:t xml:space="preserve"> </w:t>
      </w:r>
      <w:r>
        <w:t xml:space="preserve">implements the privacy requirements of the Privacy Act of 1974 (5 U.S.C.</w:t>
      </w:r>
      <w:r>
        <w:t xml:space="preserve"> </w:t>
      </w:r>
      <w:r>
        <w:t xml:space="preserve">§552a), the E-Government Act of 2002 (Pub. L. 107-347, §208; 44 U.S.C. §3501 note), OMB Circular A-130</w:t>
      </w:r>
      <w:r>
        <w:t xml:space="preserve"> </w:t>
      </w:r>
      <w:r>
        <w:t xml:space="preserve">(Appendix II), and OMB Memorandum M-03-22.</w:t>
      </w:r>
    </w:p>
    <w:p>
      <w:pPr>
        <w:pStyle w:val="BlockText"/>
      </w:pPr>
      <w:r>
        <w:rPr>
          <w:b/>
          <w:bCs/>
        </w:rPr>
        <w:t xml:space="preserve">Authorization Boundary:</w:t>
      </w:r>
      <w:r>
        <w:t xml:space="preserve"> </w:t>
      </w:r>
      <w:r>
        <w:t xml:space="preserve">[Reference boundary diagram. Must match the</w:t>
      </w:r>
      <w:r>
        <w:t xml:space="preserve"> </w:t>
      </w:r>
      <w:r>
        <w:t xml:space="preserve">data flow map in §8 and the SSP boundary description.]</w:t>
      </w:r>
    </w:p>
    <w:p>
      <w:pPr>
        <w:pStyle w:val="BlockText"/>
      </w:pPr>
      <w:r>
        <w:rPr>
          <w:b/>
          <w:bCs/>
        </w:rPr>
        <w:t xml:space="preserve">Effective Date:</w:t>
      </w:r>
      <w:r>
        <w:t xml:space="preserve"> </w:t>
      </w:r>
      <w:r>
        <w:t xml:space="preserve">[DATE]</w:t>
      </w:r>
      <w:r>
        <w:t xml:space="preserve"> </w:t>
      </w:r>
      <w:r>
        <w:rPr>
          <w:b/>
          <w:bCs/>
        </w:rPr>
        <w:t xml:space="preserve">Review Cycle:</w:t>
      </w:r>
      <w:r>
        <w:t xml:space="preserve"> </w:t>
      </w:r>
      <w:r>
        <w:t xml:space="preserve">Annual / After major system change</w:t>
      </w:r>
    </w:p>
    <w:p>
      <w:pPr>
        <w:pStyle w:val="BlockText"/>
      </w:pPr>
      <w:r>
        <w:rPr>
          <w:b/>
          <w:bCs/>
        </w:rPr>
        <w:t xml:space="preserve">Document Owner:</w:t>
      </w:r>
      <w:r>
        <w:t xml:space="preserve"> </w:t>
      </w:r>
      <w:r>
        <w:t xml:space="preserve">[NAME, TITLE] — Senior Agency Official for Privacy (SAOP)</w:t>
      </w:r>
    </w:p>
    <w:p>
      <w:pPr>
        <w:pStyle w:val="BlockText"/>
      </w:pPr>
      <w:r>
        <w:rPr>
          <w:b/>
          <w:bCs/>
        </w:rPr>
        <w:t xml:space="preserve">Co-Owner:</w:t>
      </w:r>
      <w:r>
        <w:t xml:space="preserve"> </w:t>
      </w:r>
      <w:r>
        <w:t xml:space="preserve">[NAME, TITLE] — SAISO/CISO</w:t>
      </w:r>
    </w:p>
    <w:p>
      <w:pPr>
        <w:pStyle w:val="BlockText"/>
      </w:pPr>
      <w:r>
        <w:rPr>
          <w:b/>
          <w:bCs/>
        </w:rPr>
        <w:t xml:space="preserve">Approver:</w:t>
      </w:r>
      <w:r>
        <w:t xml:space="preserve"> </w:t>
      </w:r>
      <w:r>
        <w:t xml:space="preserve">[NAME, TITLE] — Authorizing Official (AO)</w:t>
      </w:r>
    </w:p>
    <w:p>
      <w:pPr>
        <w:pStyle w:val="FirstParagraph"/>
      </w:pPr>
      <w:r>
        <w:rPr>
          <w:b/>
          <w:bCs/>
        </w:rPr>
        <w:t xml:space="preserve">Section 2 — Legal and Regulatory Authority</w:t>
      </w:r>
    </w:p>
    <w:p>
      <w:pPr>
        <w:pStyle w:val="Compact"/>
        <w:numPr>
          <w:ilvl w:val="0"/>
          <w:numId w:val="1004"/>
        </w:numPr>
      </w:pPr>
      <w:r>
        <w:t xml:space="preserve">Privacy Act of 1974, 5 U.S.C. §552a</w:t>
      </w:r>
    </w:p>
    <w:p>
      <w:pPr>
        <w:pStyle w:val="Compact"/>
        <w:numPr>
          <w:ilvl w:val="0"/>
          <w:numId w:val="1004"/>
        </w:numPr>
      </w:pPr>
      <w:r>
        <w:t xml:space="preserve">E-Government Act of 2002, Pub. L. 107-347, §208 (44 U.S.C. §3501 note)</w:t>
      </w:r>
    </w:p>
    <w:p>
      <w:pPr>
        <w:pStyle w:val="Compact"/>
        <w:numPr>
          <w:ilvl w:val="0"/>
          <w:numId w:val="1004"/>
        </w:numPr>
      </w:pPr>
      <w:r>
        <w:t xml:space="preserve">Federal Information Security Modernization Act (FISMA), 44 U.S.C. §3551 et seq.</w:t>
      </w:r>
    </w:p>
    <w:p>
      <w:pPr>
        <w:pStyle w:val="Compact"/>
        <w:numPr>
          <w:ilvl w:val="0"/>
          <w:numId w:val="1004"/>
        </w:numPr>
      </w:pPr>
      <w:r>
        <w:t xml:space="preserve">OMB Memorandum M-03-22, OMB Guidance for Implementing the Privacy Provisions</w:t>
      </w:r>
      <w:r>
        <w:t xml:space="preserve"> </w:t>
      </w:r>
      <w:r>
        <w:t xml:space="preserve">of the E-Government Act of 2002</w:t>
      </w:r>
    </w:p>
    <w:p>
      <w:pPr>
        <w:pStyle w:val="Compact"/>
        <w:numPr>
          <w:ilvl w:val="0"/>
          <w:numId w:val="1004"/>
        </w:numPr>
      </w:pPr>
      <w:r>
        <w:t xml:space="preserve">OMB Circular A-130, Appendix II, Responsibilities for Managing PII</w:t>
      </w:r>
    </w:p>
    <w:p>
      <w:pPr>
        <w:pStyle w:val="Compact"/>
        <w:numPr>
          <w:ilvl w:val="0"/>
          <w:numId w:val="1004"/>
        </w:numPr>
      </w:pPr>
      <w:r>
        <w:t xml:space="preserve">OMB Memorandum M-17-12, Preparing for and Responding to a Breach of PII</w:t>
      </w:r>
    </w:p>
    <w:p>
      <w:pPr>
        <w:pStyle w:val="Compact"/>
        <w:numPr>
          <w:ilvl w:val="0"/>
          <w:numId w:val="1004"/>
        </w:numPr>
      </w:pPr>
      <w:r>
        <w:t xml:space="preserve">NIST SP 800-53 Rev 5, Privacy Control Family (PT)</w:t>
      </w:r>
    </w:p>
    <w:p>
      <w:pPr>
        <w:pStyle w:val="Compact"/>
        <w:numPr>
          <w:ilvl w:val="0"/>
          <w:numId w:val="1004"/>
        </w:numPr>
      </w:pPr>
      <w:r>
        <w:t xml:space="preserve">NIST SP 800-122, Guide to Protecting Confidentiality of PII</w:t>
      </w:r>
    </w:p>
    <w:p>
      <w:pPr>
        <w:pStyle w:val="Compact"/>
        <w:numPr>
          <w:ilvl w:val="0"/>
          <w:numId w:val="1004"/>
        </w:numPr>
      </w:pPr>
      <w:r>
        <w:t xml:space="preserve">FedRAMP 20x Authorization Framework (GSA, 2026)</w:t>
      </w:r>
    </w:p>
    <w:p>
      <w:pPr>
        <w:pStyle w:val="FirstParagraph"/>
      </w:pPr>
      <w:r>
        <w:rPr>
          <w:b/>
          <w:bCs/>
        </w:rPr>
        <w:t xml:space="preserve">Section 3 — Roles and Responsibilities</w:t>
      </w:r>
    </w:p>
    <w:tbl>
      <w:tblPr>
        <w:tblStyle w:val="Table"/>
        <w:tblW w:type="pct" w:w="5000"/>
        <w:tblLayout w:type="fixed"/>
        <w:tblLook w:firstRow="1" w:lastRow="0" w:firstColumn="0" w:lastColumn="0" w:noHBand="0" w:noVBand="0" w:val="0020"/>
      </w:tblPr>
      <w:tblGrid>
        <w:gridCol w:w="1105"/>
        <w:gridCol w:w="2762"/>
        <w:gridCol w:w="4052"/>
      </w:tblGrid>
      <w:tr>
        <w:trPr>
          <w:tblHeader w:val="on"/>
        </w:trPr>
        <w:tc>
          <w:tcPr/>
          <w:p>
            <w:pPr>
              <w:pStyle w:val="Compact"/>
            </w:pPr>
            <w:r>
              <w:t xml:space="preserve">Role</w:t>
            </w:r>
          </w:p>
        </w:tc>
        <w:tc>
          <w:tcPr/>
          <w:p>
            <w:pPr>
              <w:pStyle w:val="Compact"/>
            </w:pPr>
            <w:r>
              <w:t xml:space="preserve">Responsibility</w:t>
            </w:r>
          </w:p>
        </w:tc>
        <w:tc>
          <w:tcPr/>
          <w:p>
            <w:pPr>
              <w:pStyle w:val="Compact"/>
            </w:pPr>
            <w:r>
              <w:t xml:space="preserve">PT Control Ownership</w:t>
            </w:r>
          </w:p>
        </w:tc>
      </w:tr>
      <w:tr>
        <w:tc>
          <w:tcPr/>
          <w:p>
            <w:pPr>
              <w:pStyle w:val="Compact"/>
            </w:pPr>
            <w:r>
              <w:rPr>
                <w:b/>
                <w:bCs/>
              </w:rPr>
              <w:t xml:space="preserve">SAOP</w:t>
            </w:r>
          </w:p>
        </w:tc>
        <w:tc>
          <w:tcPr/>
          <w:p>
            <w:pPr>
              <w:pStyle w:val="Compact"/>
            </w:pPr>
            <w:r>
              <w:t xml:space="preserve">Chairs Privacy Council; approves PIAs and SORNs; annual program review</w:t>
            </w:r>
          </w:p>
        </w:tc>
        <w:tc>
          <w:tcPr/>
          <w:p>
            <w:pPr>
              <w:pStyle w:val="Compact"/>
            </w:pPr>
            <w:r>
              <w:t xml:space="preserve">PT-1, PT-2, PT-5</w:t>
            </w:r>
          </w:p>
        </w:tc>
      </w:tr>
      <w:tr>
        <w:tc>
          <w:tcPr/>
          <w:p>
            <w:pPr>
              <w:pStyle w:val="Compact"/>
            </w:pPr>
            <w:r>
              <w:rPr>
                <w:b/>
                <w:bCs/>
              </w:rPr>
              <w:t xml:space="preserve">System Privacy Officer (SPO)</w:t>
            </w:r>
          </w:p>
        </w:tc>
        <w:tc>
          <w:tcPr/>
          <w:p>
            <w:pPr>
              <w:pStyle w:val="Compact"/>
            </w:pPr>
            <w:r>
              <w:t xml:space="preserve">System-level privacy representative; maintains PT artifacts</w:t>
            </w:r>
          </w:p>
        </w:tc>
        <w:tc>
          <w:tcPr/>
          <w:p>
            <w:pPr>
              <w:pStyle w:val="Compact"/>
            </w:pPr>
            <w:r>
              <w:t xml:space="preserve">PT-3, PT-4, PT-7</w:t>
            </w:r>
          </w:p>
        </w:tc>
      </w:tr>
      <w:tr>
        <w:tc>
          <w:tcPr/>
          <w:p>
            <w:pPr>
              <w:pStyle w:val="Compact"/>
            </w:pPr>
            <w:r>
              <w:rPr>
                <w:b/>
                <w:bCs/>
              </w:rPr>
              <w:t xml:space="preserve">ISSO</w:t>
            </w:r>
          </w:p>
        </w:tc>
        <w:tc>
          <w:tcPr/>
          <w:p>
            <w:pPr>
              <w:pStyle w:val="Compact"/>
            </w:pPr>
            <w:r>
              <w:t xml:space="preserve">Integrates privacy controls into security assessment; POA&amp;M</w:t>
            </w:r>
          </w:p>
        </w:tc>
        <w:tc>
          <w:tcPr/>
          <w:p>
            <w:pPr>
              <w:pStyle w:val="Compact"/>
            </w:pPr>
            <w:r>
              <w:t xml:space="preserve">PT-1, PT-7</w:t>
            </w:r>
          </w:p>
        </w:tc>
      </w:tr>
      <w:tr>
        <w:tc>
          <w:tcPr/>
          <w:p>
            <w:pPr>
              <w:pStyle w:val="Compact"/>
            </w:pPr>
            <w:r>
              <w:rPr>
                <w:b/>
                <w:bCs/>
              </w:rPr>
              <w:t xml:space="preserve">Legal Counsel</w:t>
            </w:r>
          </w:p>
        </w:tc>
        <w:tc>
          <w:tcPr/>
          <w:p>
            <w:pPr>
              <w:pStyle w:val="Compact"/>
            </w:pPr>
            <w:r>
              <w:t xml:space="preserve">Reviews SORN language; validates legal authority citations</w:t>
            </w:r>
          </w:p>
        </w:tc>
        <w:tc>
          <w:tcPr/>
          <w:p>
            <w:pPr>
              <w:pStyle w:val="Compact"/>
            </w:pPr>
            <w:r>
              <w:t xml:space="preserve">PT-2</w:t>
            </w:r>
          </w:p>
        </w:tc>
      </w:tr>
      <w:tr>
        <w:tc>
          <w:tcPr/>
          <w:p>
            <w:pPr>
              <w:pStyle w:val="Compact"/>
            </w:pPr>
            <w:r>
              <w:rPr>
                <w:b/>
                <w:bCs/>
              </w:rPr>
              <w:t xml:space="preserve">DevSecOps Lead</w:t>
            </w:r>
          </w:p>
        </w:tc>
        <w:tc>
          <w:tcPr/>
          <w:p>
            <w:pPr>
              <w:pStyle w:val="Compact"/>
            </w:pPr>
            <w:r>
              <w:t xml:space="preserve">Implements Purview labels; data flow automation</w:t>
            </w:r>
          </w:p>
        </w:tc>
        <w:tc>
          <w:tcPr/>
          <w:p>
            <w:pPr>
              <w:pStyle w:val="Compact"/>
            </w:pPr>
            <w:r>
              <w:t xml:space="preserve">PT-3, PT-7</w:t>
            </w:r>
          </w:p>
        </w:tc>
      </w:tr>
      <w:tr>
        <w:tc>
          <w:tcPr/>
          <w:p>
            <w:pPr>
              <w:pStyle w:val="Compact"/>
            </w:pPr>
            <w:r>
              <w:rPr>
                <w:b/>
                <w:bCs/>
              </w:rPr>
              <w:t xml:space="preserve">Communications / Web</w:t>
            </w:r>
          </w:p>
        </w:tc>
        <w:tc>
          <w:tcPr/>
          <w:p>
            <w:pPr>
              <w:pStyle w:val="Compact"/>
            </w:pPr>
            <w:r>
              <w:t xml:space="preserve">Publishes privacy notices; maintains notice URLs</w:t>
            </w:r>
          </w:p>
        </w:tc>
        <w:tc>
          <w:tcPr/>
          <w:p>
            <w:pPr>
              <w:pStyle w:val="Compact"/>
            </w:pPr>
            <w:r>
              <w:t xml:space="preserve">PT-5</w:t>
            </w:r>
          </w:p>
        </w:tc>
      </w:tr>
    </w:tbl>
    <w:p>
      <w:pPr>
        <w:pStyle w:val="BodyText"/>
      </w:pPr>
      <w:r>
        <w:rPr>
          <w:b/>
          <w:bCs/>
        </w:rPr>
        <w:t xml:space="preserve">Section 4 — Program Oversight Cadence</w:t>
      </w:r>
    </w:p>
    <w:tbl>
      <w:tblPr>
        <w:tblStyle w:val="Table"/>
        <w:tblW w:type="pct" w:w="5000"/>
        <w:tblLayout w:type="fixed"/>
        <w:tblLook w:firstRow="1" w:lastRow="0" w:firstColumn="0" w:lastColumn="0" w:noHBand="0" w:noVBand="0" w:val="0020"/>
      </w:tblPr>
      <w:tblGrid>
        <w:gridCol w:w="1760"/>
        <w:gridCol w:w="1232"/>
        <w:gridCol w:w="1584"/>
        <w:gridCol w:w="3344"/>
      </w:tblGrid>
      <w:tr>
        <w:trPr>
          <w:tblHeader w:val="on"/>
        </w:trPr>
        <w:tc>
          <w:tcPr/>
          <w:p>
            <w:pPr>
              <w:pStyle w:val="Compact"/>
            </w:pPr>
            <w:r>
              <w:t xml:space="preserve">Activity</w:t>
            </w:r>
          </w:p>
        </w:tc>
        <w:tc>
          <w:tcPr/>
          <w:p>
            <w:pPr>
              <w:pStyle w:val="Compact"/>
            </w:pPr>
            <w:r>
              <w:t xml:space="preserve">Owner</w:t>
            </w:r>
          </w:p>
        </w:tc>
        <w:tc>
          <w:tcPr/>
          <w:p>
            <w:pPr>
              <w:pStyle w:val="Compact"/>
            </w:pPr>
            <w:r>
              <w:t xml:space="preserve">Cadence</w:t>
            </w:r>
          </w:p>
        </w:tc>
        <w:tc>
          <w:tcPr/>
          <w:p>
            <w:pPr>
              <w:pStyle w:val="Compact"/>
            </w:pPr>
            <w:r>
              <w:t xml:space="preserve">Artifact Produced</w:t>
            </w:r>
          </w:p>
        </w:tc>
      </w:tr>
      <w:tr>
        <w:tc>
          <w:tcPr/>
          <w:p>
            <w:pPr>
              <w:pStyle w:val="Compact"/>
            </w:pPr>
            <w:r>
              <w:t xml:space="preserve">Privacy Program Plan review</w:t>
            </w:r>
          </w:p>
        </w:tc>
        <w:tc>
          <w:tcPr/>
          <w:p>
            <w:pPr>
              <w:pStyle w:val="Compact"/>
            </w:pPr>
            <w:r>
              <w:t xml:space="preserve">SAOP</w:t>
            </w:r>
          </w:p>
        </w:tc>
        <w:tc>
          <w:tcPr/>
          <w:p>
            <w:pPr>
              <w:pStyle w:val="Compact"/>
            </w:pPr>
            <w:r>
              <w:t xml:space="preserve">Annual</w:t>
            </w:r>
          </w:p>
        </w:tc>
        <w:tc>
          <w:tcPr/>
          <w:p>
            <w:pPr>
              <w:pStyle w:val="Compact"/>
            </w:pPr>
            <w:r>
              <w:t xml:space="preserve">Updated PPP with AO signature</w:t>
            </w:r>
          </w:p>
        </w:tc>
      </w:tr>
      <w:tr>
        <w:tc>
          <w:tcPr/>
          <w:p>
            <w:pPr>
              <w:pStyle w:val="Compact"/>
            </w:pPr>
            <w:r>
              <w:t xml:space="preserve">Privacy Impact Assessment (PIA)</w:t>
            </w:r>
          </w:p>
        </w:tc>
        <w:tc>
          <w:tcPr/>
          <w:p>
            <w:pPr>
              <w:pStyle w:val="Compact"/>
            </w:pPr>
            <w:r>
              <w:t xml:space="preserve">SPO</w:t>
            </w:r>
          </w:p>
        </w:tc>
        <w:tc>
          <w:tcPr/>
          <w:p>
            <w:pPr>
              <w:pStyle w:val="Compact"/>
            </w:pPr>
            <w:r>
              <w:t xml:space="preserve">At boundary establishment; after major change</w:t>
            </w:r>
          </w:p>
        </w:tc>
        <w:tc>
          <w:tcPr/>
          <w:p>
            <w:pPr>
              <w:pStyle w:val="Compact"/>
            </w:pPr>
            <w:r>
              <w:t xml:space="preserve">PIA Report</w:t>
            </w:r>
          </w:p>
        </w:tc>
      </w:tr>
      <w:tr>
        <w:tc>
          <w:tcPr/>
          <w:p>
            <w:pPr>
              <w:pStyle w:val="Compact"/>
            </w:pPr>
            <w:r>
              <w:t xml:space="preserve">SORN review and update</w:t>
            </w:r>
          </w:p>
        </w:tc>
        <w:tc>
          <w:tcPr/>
          <w:p>
            <w:pPr>
              <w:pStyle w:val="Compact"/>
            </w:pPr>
            <w:r>
              <w:t xml:space="preserve">Legal + SAOP</w:t>
            </w:r>
          </w:p>
        </w:tc>
        <w:tc>
          <w:tcPr/>
          <w:p>
            <w:pPr>
              <w:pStyle w:val="Compact"/>
            </w:pPr>
            <w:r>
              <w:t xml:space="preserve">Every 3 years or upon significant change</w:t>
            </w:r>
          </w:p>
        </w:tc>
        <w:tc>
          <w:tcPr/>
          <w:p>
            <w:pPr>
              <w:pStyle w:val="Compact"/>
            </w:pPr>
            <w:r>
              <w:t xml:space="preserve">SORN Amendment (Federal Register)</w:t>
            </w:r>
          </w:p>
        </w:tc>
      </w:tr>
      <w:tr>
        <w:tc>
          <w:tcPr/>
          <w:p>
            <w:pPr>
              <w:pStyle w:val="Compact"/>
            </w:pPr>
            <w:r>
              <w:t xml:space="preserve">Privacy control assessment</w:t>
            </w:r>
          </w:p>
        </w:tc>
        <w:tc>
          <w:tcPr/>
          <w:p>
            <w:pPr>
              <w:pStyle w:val="Compact"/>
            </w:pPr>
            <w:r>
              <w:t xml:space="preserve">ISSO + independent assessor (3PAO if engaged)</w:t>
            </w:r>
          </w:p>
        </w:tc>
        <w:tc>
          <w:tcPr/>
          <w:p>
            <w:pPr>
              <w:pStyle w:val="Compact"/>
            </w:pPr>
            <w:r>
              <w:t xml:space="preserve">Annual (aligned with security assessment)</w:t>
            </w:r>
          </w:p>
        </w:tc>
        <w:tc>
          <w:tcPr/>
          <w:p>
            <w:pPr>
              <w:pStyle w:val="Compact"/>
            </w:pPr>
            <w:r>
              <w:t xml:space="preserve">Privacy Assessment Report</w:t>
            </w:r>
          </w:p>
        </w:tc>
      </w:tr>
      <w:tr>
        <w:tc>
          <w:tcPr/>
          <w:p>
            <w:pPr>
              <w:pStyle w:val="Compact"/>
            </w:pPr>
            <w:r>
              <w:t xml:space="preserve">Purpose limitation review (PT-3)</w:t>
            </w:r>
          </w:p>
        </w:tc>
        <w:tc>
          <w:tcPr/>
          <w:p>
            <w:pPr>
              <w:pStyle w:val="Compact"/>
            </w:pPr>
            <w:r>
              <w:t xml:space="preserve">SPO</w:t>
            </w:r>
          </w:p>
        </w:tc>
        <w:tc>
          <w:tcPr/>
          <w:p>
            <w:pPr>
              <w:pStyle w:val="Compact"/>
            </w:pPr>
            <w:r>
              <w:t xml:space="preserve">Annual</w:t>
            </w:r>
          </w:p>
        </w:tc>
        <w:tc>
          <w:tcPr/>
          <w:p>
            <w:pPr>
              <w:pStyle w:val="Compact"/>
            </w:pPr>
            <w:r>
              <w:t xml:space="preserve">PT-3 Checklist (§4)</w:t>
            </w:r>
          </w:p>
        </w:tc>
      </w:tr>
      <w:tr>
        <w:tc>
          <w:tcPr/>
          <w:p>
            <w:pPr>
              <w:pStyle w:val="Compact"/>
            </w:pPr>
            <w:r>
              <w:t xml:space="preserve">Breach response exercise</w:t>
            </w:r>
          </w:p>
        </w:tc>
        <w:tc>
          <w:tcPr/>
          <w:p>
            <w:pPr>
              <w:pStyle w:val="Compact"/>
            </w:pPr>
            <w:r>
              <w:t xml:space="preserve">SAOP + ISSO</w:t>
            </w:r>
          </w:p>
        </w:tc>
        <w:tc>
          <w:tcPr/>
          <w:p>
            <w:pPr>
              <w:pStyle w:val="Compact"/>
            </w:pPr>
            <w:r>
              <w:t xml:space="preserve">Annual</w:t>
            </w:r>
          </w:p>
        </w:tc>
        <w:tc>
          <w:tcPr/>
          <w:p>
            <w:pPr>
              <w:pStyle w:val="Compact"/>
            </w:pPr>
            <w:r>
              <w:t xml:space="preserve">Tabletop AAR</w:t>
            </w:r>
          </w:p>
        </w:tc>
      </w:tr>
      <w:tr>
        <w:tc>
          <w:tcPr/>
          <w:p>
            <w:pPr>
              <w:pStyle w:val="Compact"/>
            </w:pPr>
            <w:r>
              <w:t xml:space="preserve">Data flow map update (§8)</w:t>
            </w:r>
          </w:p>
        </w:tc>
        <w:tc>
          <w:tcPr/>
          <w:p>
            <w:pPr>
              <w:pStyle w:val="Compact"/>
            </w:pPr>
            <w:r>
              <w:t xml:space="preserve">DevSecOps + SPO</w:t>
            </w:r>
          </w:p>
        </w:tc>
        <w:tc>
          <w:tcPr/>
          <w:p>
            <w:pPr>
              <w:pStyle w:val="Compact"/>
            </w:pPr>
            <w:r>
              <w:t xml:space="preserve">After each major data flow change</w:t>
            </w:r>
          </w:p>
        </w:tc>
        <w:tc>
          <w:tcPr/>
          <w:p>
            <w:pPr>
              <w:pStyle w:val="Compact"/>
            </w:pPr>
            <w:r>
              <w:t xml:space="preserve">Updated data flow map</w:t>
            </w:r>
          </w:p>
        </w:tc>
      </w:tr>
    </w:tbl>
    <w:p>
      <w:pPr>
        <w:pStyle w:val="BlockText"/>
      </w:pPr>
      <w:r>
        <w:t xml:space="preserve">[FILLABLE] Confirm cadence dates align with the FedRAMP 20x Continuous</w:t>
      </w:r>
      <w:r>
        <w:t xml:space="preserve"> </w:t>
      </w:r>
      <w:r>
        <w:t xml:space="preserve">Monitoring plan. The annual privacy assessment must be completed within</w:t>
      </w:r>
      <w:r>
        <w:t xml:space="preserve"> </w:t>
      </w:r>
      <w:r>
        <w:t xml:space="preserve">365 days of the prior assessment. Document the next scheduled date for each</w:t>
      </w:r>
      <w:r>
        <w:t xml:space="preserve"> </w:t>
      </w:r>
      <w:r>
        <w:t xml:space="preserve">activity in the column above.</w:t>
      </w:r>
    </w:p>
    <w:p>
      <w:r>
        <w:pict>
          <v:rect style="width:0;height:1.5pt" o:hralign="center" o:hrstd="t" o:hr="t"/>
        </w:pict>
      </w:r>
    </w:p>
    <w:bookmarkEnd w:id="15"/>
    <w:bookmarkEnd w:id="16"/>
    <w:bookmarkStart w:id="20" w:name="authority-to-process-pii-pt-2"/>
    <w:p>
      <w:pPr>
        <w:pStyle w:val="Heading1"/>
      </w:pPr>
      <w:r>
        <w:t xml:space="preserve">3. Authority to Process PII (PT-2)</w:t>
      </w:r>
    </w:p>
    <w:bookmarkStart w:id="17" w:name="control-requirement-1"/>
    <w:p>
      <w:pPr>
        <w:pStyle w:val="Heading2"/>
      </w:pPr>
      <w:r>
        <w:t xml:space="preserve">3.1 Control Requirement</w:t>
      </w:r>
    </w:p>
    <w:p>
      <w:pPr>
        <w:pStyle w:val="FirstParagraph"/>
      </w:pPr>
      <w:r>
        <w:t xml:space="preserve">PT-2 requires the organization to identify the legal authority that permits the</w:t>
      </w:r>
      <w:r>
        <w:t xml:space="preserve"> </w:t>
      </w:r>
      <w:r>
        <w:t xml:space="preserve">collection, use, maintenance, and sharing of PII and restricts the collection</w:t>
      </w:r>
      <w:r>
        <w:t xml:space="preserve"> </w:t>
      </w:r>
      <w:r>
        <w:t xml:space="preserve">of PII to the minimum necessary for the identified purpose.</w:t>
      </w:r>
    </w:p>
    <w:bookmarkEnd w:id="17"/>
    <w:bookmarkStart w:id="18" w:name="legal-authority-matrix"/>
    <w:p>
      <w:pPr>
        <w:pStyle w:val="Heading2"/>
      </w:pPr>
      <w:r>
        <w:t xml:space="preserve">3.2 Legal Authority Matrix</w:t>
      </w:r>
    </w:p>
    <w:p>
      <w:pPr>
        <w:pStyle w:val="BlockText"/>
      </w:pPr>
      <w:r>
        <w:t xml:space="preserve">[FILLABLE] Complete the following matrix for every PII category the system</w:t>
      </w:r>
      <w:r>
        <w:t xml:space="preserve"> </w:t>
      </w:r>
      <w:r>
        <w:t xml:space="preserve">collects. Each row requires a specific legal citation —</w:t>
      </w:r>
      <w:r>
        <w:t xml:space="preserve"> </w:t>
      </w:r>
      <w:r>
        <w:t xml:space="preserve">“general mission</w:t>
      </w:r>
      <w:r>
        <w:t xml:space="preserve"> </w:t>
      </w:r>
      <w:r>
        <w:t xml:space="preserve">authority”</w:t>
      </w:r>
      <w:r>
        <w:t xml:space="preserve"> </w:t>
      </w:r>
      <w:r>
        <w:t xml:space="preserve">is not sufficient. Consult Agency Legal Counsel for each entry.</w:t>
      </w:r>
    </w:p>
    <w:tbl>
      <w:tblPr>
        <w:tblStyle w:val="Table"/>
        <w:tblW w:type="pct" w:w="5000"/>
        <w:tblLayout w:type="fixed"/>
        <w:tblLook w:firstRow="1" w:lastRow="0" w:firstColumn="0" w:lastColumn="0" w:noHBand="0" w:noVBand="0" w:val="0020"/>
      </w:tblPr>
      <w:tblGrid>
        <w:gridCol w:w="1119"/>
        <w:gridCol w:w="1119"/>
        <w:gridCol w:w="2754"/>
        <w:gridCol w:w="1463"/>
        <w:gridCol w:w="1463"/>
      </w:tblGrid>
      <w:tr>
        <w:trPr>
          <w:tblHeader w:val="on"/>
        </w:trPr>
        <w:tc>
          <w:tcPr/>
          <w:p>
            <w:pPr>
              <w:pStyle w:val="Compact"/>
            </w:pPr>
            <w:r>
              <w:t xml:space="preserve">PII Category</w:t>
            </w:r>
          </w:p>
        </w:tc>
        <w:tc>
          <w:tcPr/>
          <w:p>
            <w:pPr>
              <w:pStyle w:val="Compact"/>
            </w:pPr>
            <w:r>
              <w:t xml:space="preserve">Legal Basis</w:t>
            </w:r>
          </w:p>
        </w:tc>
        <w:tc>
          <w:tcPr/>
          <w:p>
            <w:pPr>
              <w:pStyle w:val="Compact"/>
            </w:pPr>
            <w:r>
              <w:t xml:space="preserve">Statutory / Regulatory Citation</w:t>
            </w:r>
          </w:p>
        </w:tc>
        <w:tc>
          <w:tcPr/>
          <w:p>
            <w:pPr>
              <w:pStyle w:val="Compact"/>
            </w:pPr>
            <w:r>
              <w:t xml:space="preserve">Retention Period</w:t>
            </w:r>
          </w:p>
        </w:tc>
        <w:tc>
          <w:tcPr/>
          <w:p>
            <w:pPr>
              <w:pStyle w:val="Compact"/>
            </w:pPr>
            <w:r>
              <w:t xml:space="preserve">Disposal Method</w:t>
            </w:r>
          </w:p>
        </w:tc>
      </w:tr>
      <w:tr>
        <w:tc>
          <w:tcPr/>
          <w:p>
            <w:pPr>
              <w:pStyle w:val="Compact"/>
            </w:pPr>
            <w:r>
              <w:t xml:space="preserve">Social Security Number (SSN)</w:t>
            </w:r>
          </w:p>
        </w:tc>
        <w:tc>
          <w:tcPr/>
          <w:p>
            <w:pPr>
              <w:pStyle w:val="Compact"/>
            </w:pPr>
            <w:r>
              <w:t xml:space="preserve">Statutory</w:t>
            </w:r>
          </w:p>
        </w:tc>
        <w:tc>
          <w:tcPr/>
          <w:p>
            <w:pPr>
              <w:pStyle w:val="Compact"/>
            </w:pPr>
            <w:r>
              <w:t xml:space="preserve">[CITATION]</w:t>
            </w:r>
          </w:p>
        </w:tc>
        <w:tc>
          <w:tcPr/>
          <w:p>
            <w:pPr>
              <w:pStyle w:val="Compact"/>
            </w:pPr>
            <w:r>
              <w:t xml:space="preserve">[N years per records schedule]</w:t>
            </w:r>
          </w:p>
        </w:tc>
        <w:tc>
          <w:tcPr/>
          <w:p>
            <w:pPr>
              <w:pStyle w:val="Compact"/>
            </w:pPr>
            <w:r>
              <w:t xml:space="preserve">NIST 800-88 purge</w:t>
            </w:r>
          </w:p>
        </w:tc>
      </w:tr>
      <w:tr>
        <w:tc>
          <w:tcPr/>
          <w:p>
            <w:pPr>
              <w:pStyle w:val="Compact"/>
            </w:pPr>
            <w:r>
              <w:t xml:space="preserve">Name and date of birth</w:t>
            </w:r>
          </w:p>
        </w:tc>
        <w:tc>
          <w:tcPr/>
          <w:p>
            <w:pPr>
              <w:pStyle w:val="Compact"/>
            </w:pPr>
            <w:r>
              <w:t xml:space="preserve">Statutory</w:t>
            </w:r>
          </w:p>
        </w:tc>
        <w:tc>
          <w:tcPr/>
          <w:p>
            <w:pPr>
              <w:pStyle w:val="Compact"/>
            </w:pPr>
            <w:r>
              <w:t xml:space="preserve">[CITATION]</w:t>
            </w:r>
          </w:p>
        </w:tc>
        <w:tc>
          <w:tcPr/>
          <w:p>
            <w:pPr>
              <w:pStyle w:val="Compact"/>
            </w:pPr>
            <w:r>
              <w:t xml:space="preserve">[N years per records schedule]</w:t>
            </w:r>
          </w:p>
        </w:tc>
        <w:tc>
          <w:tcPr/>
          <w:p>
            <w:pPr>
              <w:pStyle w:val="Compact"/>
            </w:pPr>
            <w:r>
              <w:t xml:space="preserve">NIST 800-88 purge</w:t>
            </w:r>
          </w:p>
        </w:tc>
      </w:tr>
      <w:tr>
        <w:tc>
          <w:tcPr/>
          <w:p>
            <w:pPr>
              <w:pStyle w:val="Compact"/>
            </w:pPr>
            <w:r>
              <w:t xml:space="preserve">Program payment records</w:t>
            </w:r>
          </w:p>
        </w:tc>
        <w:tc>
          <w:tcPr/>
          <w:p>
            <w:pPr>
              <w:pStyle w:val="Compact"/>
            </w:pPr>
            <w:r>
              <w:t xml:space="preserve">Statutory</w:t>
            </w:r>
          </w:p>
        </w:tc>
        <w:tc>
          <w:tcPr/>
          <w:p>
            <w:pPr>
              <w:pStyle w:val="Compact"/>
            </w:pPr>
            <w:r>
              <w:t xml:space="preserve">[CITATION]</w:t>
            </w:r>
          </w:p>
        </w:tc>
        <w:tc>
          <w:tcPr/>
          <w:p>
            <w:pPr>
              <w:pStyle w:val="Compact"/>
            </w:pPr>
            <w:r>
              <w:t xml:space="preserve">7 years post-case closure</w:t>
            </w:r>
          </w:p>
        </w:tc>
        <w:tc>
          <w:tcPr/>
          <w:p>
            <w:pPr>
              <w:pStyle w:val="Compact"/>
            </w:pPr>
            <w:r>
              <w:t xml:space="preserve">NIST 800-88 purge</w:t>
            </w:r>
          </w:p>
        </w:tc>
      </w:tr>
      <w:tr>
        <w:tc>
          <w:tcPr/>
          <w:p>
            <w:pPr>
              <w:pStyle w:val="Compact"/>
            </w:pPr>
            <w:r>
              <w:t xml:space="preserve">Medical / disability records</w:t>
            </w:r>
          </w:p>
        </w:tc>
        <w:tc>
          <w:tcPr/>
          <w:p>
            <w:pPr>
              <w:pStyle w:val="Compact"/>
            </w:pPr>
            <w:r>
              <w:t xml:space="preserve">Statutory</w:t>
            </w:r>
          </w:p>
        </w:tc>
        <w:tc>
          <w:tcPr/>
          <w:p>
            <w:pPr>
              <w:pStyle w:val="Compact"/>
            </w:pPr>
            <w:r>
              <w:t xml:space="preserve">[CITATION]</w:t>
            </w:r>
          </w:p>
        </w:tc>
        <w:tc>
          <w:tcPr/>
          <w:p>
            <w:pPr>
              <w:pStyle w:val="Compact"/>
            </w:pPr>
            <w:r>
              <w:t xml:space="preserve">5 years post-determination</w:t>
            </w:r>
          </w:p>
        </w:tc>
        <w:tc>
          <w:tcPr/>
          <w:p>
            <w:pPr>
              <w:pStyle w:val="Compact"/>
            </w:pPr>
            <w:r>
              <w:t xml:space="preserve">Secure destruction + purge</w:t>
            </w:r>
          </w:p>
        </w:tc>
      </w:tr>
      <w:tr>
        <w:tc>
          <w:tcPr/>
          <w:p>
            <w:pPr>
              <w:pStyle w:val="Compact"/>
            </w:pPr>
            <w:r>
              <w:t xml:space="preserve">Contact information (address, phone, email)</w:t>
            </w:r>
          </w:p>
        </w:tc>
        <w:tc>
          <w:tcPr/>
          <w:p>
            <w:pPr>
              <w:pStyle w:val="Compact"/>
            </w:pPr>
            <w:r>
              <w:t xml:space="preserve">Statutory / Voluntary</w:t>
            </w:r>
          </w:p>
        </w:tc>
        <w:tc>
          <w:tcPr/>
          <w:p>
            <w:pPr>
              <w:pStyle w:val="Compact"/>
            </w:pPr>
            <w:r>
              <w:t xml:space="preserve">[CITATION], or voluntary collection per E-Gov Act §208</w:t>
            </w:r>
          </w:p>
        </w:tc>
        <w:tc>
          <w:tcPr/>
          <w:p>
            <w:pPr>
              <w:pStyle w:val="Compact"/>
            </w:pPr>
            <w:r>
              <w:t xml:space="preserve">Duration of case + [N years]</w:t>
            </w:r>
          </w:p>
        </w:tc>
        <w:tc>
          <w:tcPr/>
          <w:p>
            <w:pPr>
              <w:pStyle w:val="Compact"/>
            </w:pPr>
            <w:r>
              <w:t xml:space="preserve">NIST 800-88 purge</w:t>
            </w:r>
          </w:p>
        </w:tc>
      </w:tr>
      <w:tr>
        <w:tc>
          <w:tcPr/>
          <w:p>
            <w:pPr>
              <w:pStyle w:val="Compact"/>
            </w:pPr>
            <w:r>
              <w:t xml:space="preserve">Financial account data (direct deposit)</w:t>
            </w:r>
          </w:p>
        </w:tc>
        <w:tc>
          <w:tcPr/>
          <w:p>
            <w:pPr>
              <w:pStyle w:val="Compact"/>
            </w:pPr>
            <w:r>
              <w:t xml:space="preserve">Statutory</w:t>
            </w:r>
          </w:p>
        </w:tc>
        <w:tc>
          <w:tcPr/>
          <w:p>
            <w:pPr>
              <w:pStyle w:val="Compact"/>
            </w:pPr>
            <w:r>
              <w:t xml:space="preserve">[CITATION]</w:t>
            </w:r>
          </w:p>
        </w:tc>
        <w:tc>
          <w:tcPr/>
          <w:p>
            <w:pPr>
              <w:pStyle w:val="Compact"/>
            </w:pPr>
            <w:r>
              <w:t xml:space="preserve">7 years</w:t>
            </w:r>
          </w:p>
        </w:tc>
        <w:tc>
          <w:tcPr/>
          <w:p>
            <w:pPr>
              <w:pStyle w:val="Compact"/>
            </w:pPr>
            <w:r>
              <w:t xml:space="preserve">NIST 800-88 purge</w:t>
            </w:r>
          </w:p>
        </w:tc>
      </w:tr>
      <w:tr>
        <w:tc>
          <w:tcPr/>
          <w:p>
            <w:pPr>
              <w:pStyle w:val="Compact"/>
            </w:pPr>
            <w:r>
              <w:t xml:space="preserve">[ADDITIONAL PII CATEGORY]</w:t>
            </w:r>
          </w:p>
        </w:tc>
        <w:tc>
          <w:tcPr/>
          <w:p>
            <w:pPr>
              <w:pStyle w:val="Compact"/>
            </w:pPr>
            <w:r>
              <w:t xml:space="preserve">[BASIS]</w:t>
            </w:r>
          </w:p>
        </w:tc>
        <w:tc>
          <w:tcPr/>
          <w:p>
            <w:pPr>
              <w:pStyle w:val="Compact"/>
            </w:pPr>
            <w:r>
              <w:t xml:space="preserve">[CITATION]</w:t>
            </w:r>
          </w:p>
        </w:tc>
        <w:tc>
          <w:tcPr/>
          <w:p>
            <w:pPr>
              <w:pStyle w:val="Compact"/>
            </w:pPr>
            <w:r>
              <w:t xml:space="preserve">[RETENTION]</w:t>
            </w:r>
          </w:p>
        </w:tc>
        <w:tc>
          <w:tcPr/>
          <w:p>
            <w:pPr>
              <w:pStyle w:val="Compact"/>
            </w:pPr>
            <w:r>
              <w:t xml:space="preserve">[DISPOSAL]</w:t>
            </w:r>
          </w:p>
        </w:tc>
      </w:tr>
    </w:tbl>
    <w:bookmarkEnd w:id="18"/>
    <w:bookmarkStart w:id="19" w:name="sorn-requirements-privacy-act-systems"/>
    <w:p>
      <w:pPr>
        <w:pStyle w:val="Heading2"/>
      </w:pPr>
      <w:r>
        <w:t xml:space="preserve">3.3 SORN Requirements (Privacy Act Systems)</w:t>
      </w:r>
    </w:p>
    <w:p>
      <w:pPr>
        <w:pStyle w:val="FirstParagraph"/>
      </w:pPr>
      <w:r>
        <w:t xml:space="preserve">Any system that retrieves PII by a personal identifier (name, SSN, case number)</w:t>
      </w:r>
      <w:r>
        <w:t xml:space="preserve"> </w:t>
      </w:r>
      <w:r>
        <w:t xml:space="preserve">is a</w:t>
      </w:r>
      <w:r>
        <w:t xml:space="preserve"> </w:t>
      </w:r>
      <w:r>
        <w:rPr>
          <w:b/>
          <w:bCs/>
        </w:rPr>
        <w:t xml:space="preserve">system of records</w:t>
      </w:r>
      <w:r>
        <w:t xml:space="preserve"> </w:t>
      </w:r>
      <w:r>
        <w:t xml:space="preserve">under the Privacy Act and requires a published System</w:t>
      </w:r>
      <w:r>
        <w:t xml:space="preserve"> </w:t>
      </w:r>
      <w:r>
        <w:t xml:space="preserve">of Records Notice (SORN).</w:t>
      </w:r>
    </w:p>
    <w:p>
      <w:pPr>
        <w:pStyle w:val="BodyText"/>
      </w:pPr>
      <w:r>
        <w:rPr>
          <w:b/>
          <w:bCs/>
        </w:rPr>
        <w:t xml:space="preserve">SORN Publication Requirements:</w:t>
      </w:r>
    </w:p>
    <w:p>
      <w:pPr>
        <w:pStyle w:val="Compact"/>
        <w:numPr>
          <w:ilvl w:val="0"/>
          <w:numId w:val="1005"/>
        </w:numPr>
      </w:pPr>
      <w:r>
        <w:t xml:space="preserve">Draft SORN reviewed by SAOP and Legal Counsel</w:t>
      </w:r>
    </w:p>
    <w:p>
      <w:pPr>
        <w:pStyle w:val="Compact"/>
        <w:numPr>
          <w:ilvl w:val="0"/>
          <w:numId w:val="1005"/>
        </w:numPr>
      </w:pPr>
      <w:r>
        <w:t xml:space="preserve">SAOP submits to OMB and Congress for the 40-day advance review (OMB Circular A-108); the Federal Register notice carries a 30-day routine-use comment period (5 U.S.C. §552a(e)(11)), with SORN publication itself required under §552a(e)(4)</w:t>
      </w:r>
    </w:p>
    <w:p>
      <w:pPr>
        <w:pStyle w:val="Compact"/>
        <w:numPr>
          <w:ilvl w:val="0"/>
          <w:numId w:val="1005"/>
        </w:numPr>
      </w:pPr>
      <w:r>
        <w:t xml:space="preserve">As agency practice, published in the Federal Register at least</w:t>
      </w:r>
      <w:r>
        <w:t xml:space="preserve"> </w:t>
      </w:r>
      <w:r>
        <w:rPr>
          <w:b/>
          <w:bCs/>
        </w:rPr>
        <w:t xml:space="preserve">30 days before</w:t>
      </w:r>
      <w:r>
        <w:t xml:space="preserve"> </w:t>
      </w:r>
      <w:r>
        <w:t xml:space="preserve">live PII collection begins</w:t>
      </w:r>
    </w:p>
    <w:p>
      <w:pPr>
        <w:pStyle w:val="Compact"/>
        <w:numPr>
          <w:ilvl w:val="0"/>
          <w:numId w:val="1005"/>
        </w:numPr>
      </w:pPr>
      <w:r>
        <w:t xml:space="preserve">SORN updated whenever the system’s purpose, categories of records, or routine</w:t>
      </w:r>
      <w:r>
        <w:t xml:space="preserve"> </w:t>
      </w:r>
      <w:r>
        <w:t xml:space="preserve">uses change materially</w:t>
      </w:r>
    </w:p>
    <w:p>
      <w:pPr>
        <w:pStyle w:val="BlockText"/>
      </w:pPr>
      <w:r>
        <w:t xml:space="preserve">[FILLABLE] Record the SORN reference number and Federal Register citation for</w:t>
      </w:r>
      <w:r>
        <w:t xml:space="preserve"> </w:t>
      </w:r>
      <w:r>
        <w:t xml:space="preserve">each system of records within the authorization boundary. Reference the Agency</w:t>
      </w:r>
      <w:r>
        <w:t xml:space="preserve"> </w:t>
      </w:r>
      <w:r>
        <w:t xml:space="preserve">SORN database at agency.gov/privacy/sorns.html. If a SORN does not yet exist,</w:t>
      </w:r>
      <w:r>
        <w:t xml:space="preserve"> </w:t>
      </w:r>
      <w:r>
        <w:t xml:space="preserve">add a POA&amp;M item with a milestone date no later than 30 days before go-live.</w:t>
      </w:r>
    </w:p>
    <w:tbl>
      <w:tblPr>
        <w:tblStyle w:val="Table"/>
        <w:tblW w:type="pct" w:w="5000"/>
        <w:tblLayout w:type="fixed"/>
        <w:tblLook w:firstRow="1" w:lastRow="0" w:firstColumn="0" w:lastColumn="0" w:noHBand="0" w:noVBand="0" w:val="0020"/>
      </w:tblPr>
      <w:tblGrid>
        <w:gridCol w:w="2043"/>
        <w:gridCol w:w="1277"/>
        <w:gridCol w:w="2214"/>
        <w:gridCol w:w="1277"/>
        <w:gridCol w:w="1107"/>
      </w:tblGrid>
      <w:tr>
        <w:trPr>
          <w:tblHeader w:val="on"/>
        </w:trPr>
        <w:tc>
          <w:tcPr/>
          <w:p>
            <w:pPr>
              <w:pStyle w:val="Compact"/>
            </w:pPr>
            <w:r>
              <w:t xml:space="preserve">System of Records Name</w:t>
            </w:r>
          </w:p>
        </w:tc>
        <w:tc>
          <w:tcPr/>
          <w:p>
            <w:pPr>
              <w:pStyle w:val="Compact"/>
            </w:pPr>
            <w:r>
              <w:t xml:space="preserve">SORN Reference</w:t>
            </w:r>
          </w:p>
        </w:tc>
        <w:tc>
          <w:tcPr/>
          <w:p>
            <w:pPr>
              <w:pStyle w:val="Compact"/>
            </w:pPr>
            <w:r>
              <w:t xml:space="preserve">Federal Register Citation</w:t>
            </w:r>
          </w:p>
        </w:tc>
        <w:tc>
          <w:tcPr/>
          <w:p>
            <w:pPr>
              <w:pStyle w:val="Compact"/>
            </w:pPr>
            <w:r>
              <w:t xml:space="preserve">Date Published</w:t>
            </w:r>
          </w:p>
        </w:tc>
        <w:tc>
          <w:tcPr/>
          <w:p>
            <w:pPr>
              <w:pStyle w:val="Compact"/>
            </w:pPr>
            <w:r>
              <w:t xml:space="preserve">Next Review</w:t>
            </w:r>
          </w:p>
        </w:tc>
      </w:tr>
      <w:tr>
        <w:tc>
          <w:tcPr/>
          <w:p>
            <w:pPr>
              <w:pStyle w:val="Compact"/>
            </w:pPr>
            <w:r>
              <w:t xml:space="preserve">[SYSTEM NAME]</w:t>
            </w:r>
          </w:p>
        </w:tc>
        <w:tc>
          <w:tcPr/>
          <w:p>
            <w:pPr>
              <w:pStyle w:val="Compact"/>
            </w:pPr>
            <w:r>
              <w:t xml:space="preserve">Agency/[NUMBER]</w:t>
            </w:r>
          </w:p>
        </w:tc>
        <w:tc>
          <w:tcPr/>
          <w:p>
            <w:pPr>
              <w:pStyle w:val="Compact"/>
            </w:pPr>
            <w:r>
              <w:t xml:space="preserve">[Vol. FR Page, Date]</w:t>
            </w:r>
          </w:p>
        </w:tc>
        <w:tc>
          <w:tcPr/>
          <w:p>
            <w:pPr>
              <w:pStyle w:val="Compact"/>
            </w:pPr>
            <w:r>
              <w:t xml:space="preserve">[DATE]</w:t>
            </w:r>
          </w:p>
        </w:tc>
        <w:tc>
          <w:tcPr/>
          <w:p>
            <w:pPr>
              <w:pStyle w:val="Compact"/>
            </w:pPr>
            <w:r>
              <w:t xml:space="preserve">[DATE]</w:t>
            </w:r>
          </w:p>
        </w:tc>
      </w:tr>
    </w:tbl>
    <w:p>
      <w:pPr>
        <w:pStyle w:val="BodyText"/>
      </w:pPr>
      <w:r>
        <w:rPr>
          <w:b/>
          <w:bCs/>
        </w:rPr>
        <w:t xml:space="preserve">OMB Circular A-130 Cross-Reference:</w:t>
      </w:r>
      <w:r>
        <w:t xml:space="preserve"> </w:t>
      </w:r>
      <w:r>
        <w:t xml:space="preserve">Section 5 of A-130 requires agencies to</w:t>
      </w:r>
      <w:r>
        <w:t xml:space="preserve"> </w:t>
      </w:r>
      <w:r>
        <w:t xml:space="preserve">maintain an accurate accounting of disclosures and to ensure SORNs reflect all</w:t>
      </w:r>
      <w:r>
        <w:t xml:space="preserve"> </w:t>
      </w:r>
      <w:r>
        <w:t xml:space="preserve">routine uses. The SPO must review SORNs against actual data flows using the</w:t>
      </w:r>
      <w:r>
        <w:t xml:space="preserve"> </w:t>
      </w:r>
      <w:r>
        <w:t xml:space="preserve">data flow map in §8 at each annual privacy review.</w:t>
      </w:r>
    </w:p>
    <w:p>
      <w:r>
        <w:pict>
          <v:rect style="width:0;height:1.5pt" o:hralign="center" o:hrstd="t" o:hr="t"/>
        </w:pict>
      </w:r>
    </w:p>
    <w:bookmarkEnd w:id="19"/>
    <w:bookmarkEnd w:id="20"/>
    <w:bookmarkStart w:id="25" w:name="purpose-specification-pt-3"/>
    <w:p>
      <w:pPr>
        <w:pStyle w:val="Heading1"/>
      </w:pPr>
      <w:r>
        <w:t xml:space="preserve">4. Purpose Specification (PT-3)</w:t>
      </w:r>
    </w:p>
    <w:bookmarkStart w:id="21" w:name="control-requirement-2"/>
    <w:p>
      <w:pPr>
        <w:pStyle w:val="Heading2"/>
      </w:pPr>
      <w:r>
        <w:t xml:space="preserve">4.1 Control Requirement</w:t>
      </w:r>
    </w:p>
    <w:p>
      <w:pPr>
        <w:pStyle w:val="FirstParagraph"/>
      </w:pPr>
      <w:r>
        <w:t xml:space="preserve">PT-3 requires the organization to identify and document the specific purpose(s)</w:t>
      </w:r>
      <w:r>
        <w:t xml:space="preserve"> </w:t>
      </w:r>
      <w:r>
        <w:t xml:space="preserve">for which PII is collected and used. Collection of PII must be limited to the</w:t>
      </w:r>
      <w:r>
        <w:t xml:space="preserve"> </w:t>
      </w:r>
      <w:r>
        <w:t xml:space="preserve">identified purpose(s), and any use of PII for secondary purposes must be</w:t>
      </w:r>
      <w:r>
        <w:t xml:space="preserve"> </w:t>
      </w:r>
      <w:r>
        <w:t xml:space="preserve">explicitly authorized.</w:t>
      </w:r>
    </w:p>
    <w:bookmarkEnd w:id="21"/>
    <w:bookmarkStart w:id="22" w:name="purpose-specification-matrix"/>
    <w:p>
      <w:pPr>
        <w:pStyle w:val="Heading2"/>
      </w:pPr>
      <w:r>
        <w:t xml:space="preserve">4.2 Purpose Specification Matrix</w:t>
      </w:r>
    </w:p>
    <w:p>
      <w:pPr>
        <w:pStyle w:val="BlockText"/>
      </w:pPr>
      <w:r>
        <w:t xml:space="preserve">[FILLABLE] Complete the following table for each PII field collected by the</w:t>
      </w:r>
      <w:r>
        <w:t xml:space="preserve"> </w:t>
      </w:r>
      <w:r>
        <w:t xml:space="preserve">system.</w:t>
      </w:r>
      <w:r>
        <w:t xml:space="preserve"> </w:t>
      </w:r>
      <w:r>
        <w:t xml:space="preserve">“Secondary Use Permitted”</w:t>
      </w:r>
      <w:r>
        <w:t xml:space="preserve"> </w:t>
      </w:r>
      <w:r>
        <w:t xml:space="preserve">means a use beyond the original collection</w:t>
      </w:r>
      <w:r>
        <w:t xml:space="preserve"> </w:t>
      </w:r>
      <w:r>
        <w:t xml:space="preserve">purpose that is authorized by the legal authority in §3 or a Privacy Act</w:t>
      </w:r>
      <w:r>
        <w:t xml:space="preserve"> </w:t>
      </w:r>
      <w:r>
        <w:t xml:space="preserve">routine use. Uses not listed here require a new PIA and, for Privacy Act</w:t>
      </w:r>
      <w:r>
        <w:t xml:space="preserve"> </w:t>
      </w:r>
      <w:r>
        <w:t xml:space="preserve">systems, a SORN amendment.</w:t>
      </w:r>
    </w:p>
    <w:tbl>
      <w:tblPr>
        <w:tblStyle w:val="Table"/>
        <w:tblW w:type="pct" w:w="5000"/>
        <w:tblLayout w:type="fixed"/>
        <w:tblLook w:firstRow="1" w:lastRow="0" w:firstColumn="0" w:lastColumn="0" w:noHBand="0" w:noVBand="0" w:val="0020"/>
      </w:tblPr>
      <w:tblGrid>
        <w:gridCol w:w="837"/>
        <w:gridCol w:w="1446"/>
        <w:gridCol w:w="1903"/>
        <w:gridCol w:w="2132"/>
        <w:gridCol w:w="1599"/>
      </w:tblGrid>
      <w:tr>
        <w:trPr>
          <w:tblHeader w:val="on"/>
        </w:trPr>
        <w:tc>
          <w:tcPr/>
          <w:p>
            <w:pPr>
              <w:pStyle w:val="Compact"/>
            </w:pPr>
            <w:r>
              <w:t xml:space="preserve">PII Field</w:t>
            </w:r>
          </w:p>
        </w:tc>
        <w:tc>
          <w:tcPr/>
          <w:p>
            <w:pPr>
              <w:pStyle w:val="Compact"/>
            </w:pPr>
            <w:r>
              <w:t xml:space="preserve">Collection Purpose</w:t>
            </w:r>
          </w:p>
        </w:tc>
        <w:tc>
          <w:tcPr/>
          <w:p>
            <w:pPr>
              <w:pStyle w:val="Compact"/>
            </w:pPr>
            <w:r>
              <w:t xml:space="preserve">Secondary Use Permitted?</w:t>
            </w:r>
          </w:p>
        </w:tc>
        <w:tc>
          <w:tcPr/>
          <w:p>
            <w:pPr>
              <w:pStyle w:val="Compact"/>
            </w:pPr>
            <w:r>
              <w:t xml:space="preserve">Secondary Use Authorization</w:t>
            </w:r>
          </w:p>
        </w:tc>
        <w:tc>
          <w:tcPr/>
          <w:p>
            <w:pPr>
              <w:pStyle w:val="Compact"/>
            </w:pPr>
            <w:r>
              <w:t xml:space="preserve">Minimization Action</w:t>
            </w:r>
          </w:p>
        </w:tc>
      </w:tr>
      <w:tr>
        <w:tc>
          <w:tcPr/>
          <w:p>
            <w:pPr>
              <w:pStyle w:val="Compact"/>
            </w:pPr>
            <w:r>
              <w:t xml:space="preserve">SSN</w:t>
            </w:r>
          </w:p>
        </w:tc>
        <w:tc>
          <w:tcPr/>
          <w:p>
            <w:pPr>
              <w:pStyle w:val="Compact"/>
            </w:pPr>
            <w:r>
              <w:t xml:space="preserve">Unique beneficiary identification</w:t>
            </w:r>
          </w:p>
        </w:tc>
        <w:tc>
          <w:tcPr/>
          <w:p>
            <w:pPr>
              <w:pStyle w:val="Compact"/>
            </w:pPr>
            <w:r>
              <w:t xml:space="preserve">No — primary identifier only</w:t>
            </w:r>
          </w:p>
        </w:tc>
        <w:tc>
          <w:tcPr/>
          <w:p>
            <w:pPr>
              <w:pStyle w:val="Compact"/>
            </w:pPr>
            <w:r>
              <w:t xml:space="preserve">N/A</w:t>
            </w:r>
          </w:p>
        </w:tc>
        <w:tc>
          <w:tcPr/>
          <w:p>
            <w:pPr>
              <w:pStyle w:val="Compact"/>
            </w:pPr>
            <w:r>
              <w:t xml:space="preserve">Mask to last 4 digits in UI; full SSN stored encrypted only</w:t>
            </w:r>
          </w:p>
        </w:tc>
      </w:tr>
      <w:tr>
        <w:tc>
          <w:tcPr/>
          <w:p>
            <w:pPr>
              <w:pStyle w:val="Compact"/>
            </w:pPr>
            <w:r>
              <w:t xml:space="preserve">Name</w:t>
            </w:r>
          </w:p>
        </w:tc>
        <w:tc>
          <w:tcPr/>
          <w:p>
            <w:pPr>
              <w:pStyle w:val="Compact"/>
            </w:pPr>
            <w:r>
              <w:t xml:space="preserve">Beneficiary identification and correspondence</w:t>
            </w:r>
          </w:p>
        </w:tc>
        <w:tc>
          <w:tcPr/>
          <w:p>
            <w:pPr>
              <w:pStyle w:val="Compact"/>
            </w:pPr>
            <w:r>
              <w:t xml:space="preserve">Yes — cross-agency identity verification</w:t>
            </w:r>
          </w:p>
        </w:tc>
        <w:tc>
          <w:tcPr/>
          <w:p>
            <w:pPr>
              <w:pStyle w:val="Compact"/>
            </w:pPr>
            <w:r>
              <w:t xml:space="preserve">Data-sharing agreement (DSA) with [AGENCY] per Privacy Act routine use [N]</w:t>
            </w:r>
          </w:p>
        </w:tc>
        <w:tc>
          <w:tcPr/>
          <w:p>
            <w:pPr>
              <w:pStyle w:val="Compact"/>
            </w:pPr>
            <w:r>
              <w:t xml:space="preserve">Truncate to first name in non-case contexts</w:t>
            </w:r>
          </w:p>
        </w:tc>
      </w:tr>
      <w:tr>
        <w:tc>
          <w:tcPr/>
          <w:p>
            <w:pPr>
              <w:pStyle w:val="Compact"/>
            </w:pPr>
            <w:r>
              <w:t xml:space="preserve">Date of Birth</w:t>
            </w:r>
          </w:p>
        </w:tc>
        <w:tc>
          <w:tcPr/>
          <w:p>
            <w:pPr>
              <w:pStyle w:val="Compact"/>
            </w:pPr>
            <w:r>
              <w:t xml:space="preserve">Age eligibility verification</w:t>
            </w:r>
          </w:p>
        </w:tc>
        <w:tc>
          <w:tcPr/>
          <w:p>
            <w:pPr>
              <w:pStyle w:val="Compact"/>
            </w:pPr>
            <w:r>
              <w:t xml:space="preserve">Yes — fraud detection analytics</w:t>
            </w:r>
          </w:p>
        </w:tc>
        <w:tc>
          <w:tcPr/>
          <w:p>
            <w:pPr>
              <w:pStyle w:val="Compact"/>
            </w:pPr>
            <w:r>
              <w:t xml:space="preserve">Same legal authority; de-identified for analytics</w:t>
            </w:r>
          </w:p>
        </w:tc>
        <w:tc>
          <w:tcPr/>
          <w:p>
            <w:pPr>
              <w:pStyle w:val="Compact"/>
            </w:pPr>
            <w:r>
              <w:t xml:space="preserve">Do not expose in API responses unless required</w:t>
            </w:r>
          </w:p>
        </w:tc>
      </w:tr>
      <w:tr>
        <w:tc>
          <w:tcPr/>
          <w:p>
            <w:pPr>
              <w:pStyle w:val="Compact"/>
            </w:pPr>
            <w:r>
              <w:t xml:space="preserve">Medical records</w:t>
            </w:r>
          </w:p>
        </w:tc>
        <w:tc>
          <w:tcPr/>
          <w:p>
            <w:pPr>
              <w:pStyle w:val="Compact"/>
            </w:pPr>
            <w:r>
              <w:t xml:space="preserve">Disability determination</w:t>
            </w:r>
          </w:p>
        </w:tc>
        <w:tc>
          <w:tcPr/>
          <w:p>
            <w:pPr>
              <w:pStyle w:val="Compact"/>
            </w:pPr>
            <w:r>
              <w:t xml:space="preserve">No — determination purpose only</w:t>
            </w:r>
          </w:p>
        </w:tc>
        <w:tc>
          <w:tcPr/>
          <w:p>
            <w:pPr>
              <w:pStyle w:val="Compact"/>
            </w:pPr>
            <w:r>
              <w:t xml:space="preserve">N/A</w:t>
            </w:r>
          </w:p>
        </w:tc>
        <w:tc>
          <w:tcPr/>
          <w:p>
            <w:pPr>
              <w:pStyle w:val="Compact"/>
            </w:pPr>
            <w:r>
              <w:t xml:space="preserve">Restrict access to adjudicators; Purview PHI label</w:t>
            </w:r>
          </w:p>
        </w:tc>
      </w:tr>
      <w:tr>
        <w:tc>
          <w:tcPr/>
          <w:p>
            <w:pPr>
              <w:pStyle w:val="Compact"/>
            </w:pPr>
            <w:r>
              <w:t xml:space="preserve">Email address</w:t>
            </w:r>
          </w:p>
        </w:tc>
        <w:tc>
          <w:tcPr/>
          <w:p>
            <w:pPr>
              <w:pStyle w:val="Compact"/>
            </w:pPr>
            <w:r>
              <w:t xml:space="preserve">Electronic notification delivery</w:t>
            </w:r>
          </w:p>
        </w:tc>
        <w:tc>
          <w:tcPr/>
          <w:p>
            <w:pPr>
              <w:pStyle w:val="Compact"/>
            </w:pPr>
            <w:r>
              <w:t xml:space="preserve">Yes — optional account alerts</w:t>
            </w:r>
          </w:p>
        </w:tc>
        <w:tc>
          <w:tcPr/>
          <w:p>
            <w:pPr>
              <w:pStyle w:val="Compact"/>
            </w:pPr>
            <w:r>
              <w:t xml:space="preserve">Voluntary consent at enrollment</w:t>
            </w:r>
          </w:p>
        </w:tc>
        <w:tc>
          <w:tcPr/>
          <w:p>
            <w:pPr>
              <w:pStyle w:val="Compact"/>
            </w:pPr>
            <w:r>
              <w:t xml:space="preserve">Allow user withdrawal at any time</w:t>
            </w:r>
          </w:p>
        </w:tc>
      </w:tr>
      <w:tr>
        <w:tc>
          <w:tcPr/>
          <w:p>
            <w:pPr>
              <w:pStyle w:val="Compact"/>
            </w:pPr>
            <w:r>
              <w:t xml:space="preserve">Financial account (direct deposit)</w:t>
            </w:r>
          </w:p>
        </w:tc>
        <w:tc>
          <w:tcPr/>
          <w:p>
            <w:pPr>
              <w:pStyle w:val="Compact"/>
            </w:pPr>
            <w:r>
              <w:t xml:space="preserve">Payment disbursement</w:t>
            </w:r>
          </w:p>
        </w:tc>
        <w:tc>
          <w:tcPr/>
          <w:p>
            <w:pPr>
              <w:pStyle w:val="Compact"/>
            </w:pPr>
            <w:r>
              <w:t xml:space="preserve">No — payment only</w:t>
            </w:r>
          </w:p>
        </w:tc>
        <w:tc>
          <w:tcPr/>
          <w:p>
            <w:pPr>
              <w:pStyle w:val="Compact"/>
            </w:pPr>
            <w:r>
              <w:t xml:space="preserve">N/A</w:t>
            </w:r>
          </w:p>
        </w:tc>
        <w:tc>
          <w:tcPr/>
          <w:p>
            <w:pPr>
              <w:pStyle w:val="Compact"/>
            </w:pPr>
            <w:r>
              <w:t xml:space="preserve">Display masked; never log in plain text</w:t>
            </w:r>
          </w:p>
        </w:tc>
      </w:tr>
      <w:tr>
        <w:tc>
          <w:tcPr/>
          <w:p>
            <w:pPr>
              <w:pStyle w:val="Compact"/>
            </w:pPr>
            <w:r>
              <w:t xml:space="preserve">[PII FIELD]</w:t>
            </w:r>
          </w:p>
        </w:tc>
        <w:tc>
          <w:tcPr/>
          <w:p>
            <w:pPr>
              <w:pStyle w:val="Compact"/>
            </w:pPr>
            <w:r>
              <w:t xml:space="preserve">[PURPOSE]</w:t>
            </w:r>
          </w:p>
        </w:tc>
        <w:tc>
          <w:tcPr/>
          <w:p>
            <w:pPr>
              <w:pStyle w:val="Compact"/>
            </w:pPr>
            <w:r>
              <w:t xml:space="preserve">[YES/NO]</w:t>
            </w:r>
          </w:p>
        </w:tc>
        <w:tc>
          <w:tcPr/>
          <w:p>
            <w:pPr>
              <w:pStyle w:val="Compact"/>
            </w:pPr>
            <w:r>
              <w:t xml:space="preserve">[AUTHORIZATION]</w:t>
            </w:r>
          </w:p>
        </w:tc>
        <w:tc>
          <w:tcPr/>
          <w:p>
            <w:pPr>
              <w:pStyle w:val="Compact"/>
            </w:pPr>
            <w:r>
              <w:t xml:space="preserve">[ACTION]</w:t>
            </w:r>
          </w:p>
        </w:tc>
      </w:tr>
    </w:tbl>
    <w:bookmarkEnd w:id="22"/>
    <w:bookmarkStart w:id="23" w:name="purview-data-map-integration"/>
    <w:p>
      <w:pPr>
        <w:pStyle w:val="Heading2"/>
      </w:pPr>
      <w:r>
        <w:t xml:space="preserve">4.3 Purview Data Map Integration</w:t>
      </w:r>
    </w:p>
    <w:p>
      <w:pPr>
        <w:pStyle w:val="FirstParagraph"/>
      </w:pPr>
      <w:r>
        <w:t xml:space="preserve">PT-3 purpose fields map to Microsoft Purview Data Map custom attributes as</w:t>
      </w:r>
      <w:r>
        <w:t xml:space="preserve"> </w:t>
      </w:r>
      <w:r>
        <w:t xml:space="preserve">follows. This integration (established in Vol III Book 05) enables automated enforcement</w:t>
      </w:r>
      <w:r>
        <w:t xml:space="preserve"> </w:t>
      </w:r>
      <w:r>
        <w:t xml:space="preserve">of purpose limitations at the data asset level:</w:t>
      </w:r>
    </w:p>
    <w:tbl>
      <w:tblPr>
        <w:tblStyle w:val="Table"/>
        <w:tblW w:type="pct" w:w="5000"/>
        <w:tblLayout w:type="fixed"/>
        <w:tblLook w:firstRow="1" w:lastRow="0" w:firstColumn="0" w:lastColumn="0" w:noHBand="0" w:noVBand="0" w:val="0020"/>
      </w:tblPr>
      <w:tblGrid>
        <w:gridCol w:w="1476"/>
        <w:gridCol w:w="3490"/>
        <w:gridCol w:w="2953"/>
      </w:tblGrid>
      <w:tr>
        <w:trPr>
          <w:tblHeader w:val="on"/>
        </w:trPr>
        <w:tc>
          <w:tcPr/>
          <w:p>
            <w:pPr>
              <w:pStyle w:val="Compact"/>
            </w:pPr>
            <w:r>
              <w:t xml:space="preserve">PT-3 Field</w:t>
            </w:r>
          </w:p>
        </w:tc>
        <w:tc>
          <w:tcPr/>
          <w:p>
            <w:pPr>
              <w:pStyle w:val="Compact"/>
            </w:pPr>
            <w:r>
              <w:t xml:space="preserve">Purview Custom Attribute</w:t>
            </w:r>
          </w:p>
        </w:tc>
        <w:tc>
          <w:tcPr/>
          <w:p>
            <w:pPr>
              <w:pStyle w:val="Compact"/>
            </w:pPr>
            <w:r>
              <w:t xml:space="preserve">Enforcement Mechanism</w:t>
            </w:r>
          </w:p>
        </w:tc>
      </w:tr>
      <w:tr>
        <w:tc>
          <w:tcPr/>
          <w:p>
            <w:pPr>
              <w:pStyle w:val="Compact"/>
            </w:pPr>
            <w:r>
              <w:t xml:space="preserve">Collection Purpose</w:t>
            </w:r>
          </w:p>
        </w:tc>
        <w:tc>
          <w:tcPr/>
          <w:p>
            <w:pPr>
              <w:pStyle w:val="Compact"/>
            </w:pPr>
            <w:r>
              <w:rPr>
                <w:rStyle w:val="VerbatimChar"/>
              </w:rPr>
              <w:t xml:space="preserve">pii_collection_purpose</w:t>
            </w:r>
          </w:p>
        </w:tc>
        <w:tc>
          <w:tcPr/>
          <w:p>
            <w:pPr>
              <w:pStyle w:val="Compact"/>
            </w:pPr>
            <w:r>
              <w:t xml:space="preserve">Data asset tag; DLP policy condition</w:t>
            </w:r>
          </w:p>
        </w:tc>
      </w:tr>
      <w:tr>
        <w:tc>
          <w:tcPr/>
          <w:p>
            <w:pPr>
              <w:pStyle w:val="Compact"/>
            </w:pPr>
            <w:r>
              <w:t xml:space="preserve">Secondary Use Permitted</w:t>
            </w:r>
          </w:p>
        </w:tc>
        <w:tc>
          <w:tcPr/>
          <w:p>
            <w:pPr>
              <w:pStyle w:val="Compact"/>
            </w:pPr>
            <w:r>
              <w:rPr>
                <w:rStyle w:val="VerbatimChar"/>
              </w:rPr>
              <w:t xml:space="preserve">pii_secondary_use_authorized</w:t>
            </w:r>
          </w:p>
        </w:tc>
        <w:tc>
          <w:tcPr/>
          <w:p>
            <w:pPr>
              <w:pStyle w:val="Compact"/>
            </w:pPr>
            <w:r>
              <w:t xml:space="preserve">Boolean; triggers alert if data crosses boundary without flag</w:t>
            </w:r>
          </w:p>
        </w:tc>
      </w:tr>
      <w:tr>
        <w:tc>
          <w:tcPr/>
          <w:p>
            <w:pPr>
              <w:pStyle w:val="Compact"/>
            </w:pPr>
            <w:r>
              <w:t xml:space="preserve">Minimization Action</w:t>
            </w:r>
          </w:p>
        </w:tc>
        <w:tc>
          <w:tcPr/>
          <w:p>
            <w:pPr>
              <w:pStyle w:val="Compact"/>
            </w:pPr>
            <w:r>
              <w:rPr>
                <w:rStyle w:val="VerbatimChar"/>
              </w:rPr>
              <w:t xml:space="preserve">pii_minimization_policy</w:t>
            </w:r>
          </w:p>
        </w:tc>
        <w:tc>
          <w:tcPr/>
          <w:p>
            <w:pPr>
              <w:pStyle w:val="Compact"/>
            </w:pPr>
            <w:r>
              <w:t xml:space="preserve">Linked to Information Protection label</w:t>
            </w:r>
          </w:p>
        </w:tc>
      </w:tr>
      <w:tr>
        <w:tc>
          <w:tcPr/>
          <w:p>
            <w:pPr>
              <w:pStyle w:val="Compact"/>
            </w:pPr>
            <w:r>
              <w:t xml:space="preserve">Legal Authority</w:t>
            </w:r>
          </w:p>
        </w:tc>
        <w:tc>
          <w:tcPr/>
          <w:p>
            <w:pPr>
              <w:pStyle w:val="Compact"/>
            </w:pPr>
            <w:r>
              <w:rPr>
                <w:rStyle w:val="VerbatimChar"/>
              </w:rPr>
              <w:t xml:space="preserve">pii_legal_authority</w:t>
            </w:r>
          </w:p>
        </w:tc>
        <w:tc>
          <w:tcPr/>
          <w:p>
            <w:pPr>
              <w:pStyle w:val="Compact"/>
            </w:pPr>
            <w:r>
              <w:t xml:space="preserve">Audit trail attribute; populated from §3 matrix</w:t>
            </w:r>
          </w:p>
        </w:tc>
      </w:tr>
    </w:tbl>
    <w:bookmarkEnd w:id="23"/>
    <w:bookmarkStart w:id="24" w:name="X0464c49075382f23843e331b3d401f0e11f3493"/>
    <w:p>
      <w:pPr>
        <w:pStyle w:val="Heading2"/>
      </w:pPr>
      <w:r>
        <w:t xml:space="preserve">4.4 Purpose Limitation Review Checklist (Annual — PT-3)</w:t>
      </w:r>
    </w:p>
    <w:p>
      <w:pPr>
        <w:pStyle w:val="BlockText"/>
      </w:pPr>
      <w:r>
        <w:t xml:space="preserve">[FILLABLE] Complete this checklist at each annual privacy review. SAOP sign-</w:t>
      </w:r>
      <w:r>
        <w:t xml:space="preserve"> </w:t>
      </w:r>
      <w:r>
        <w:t xml:space="preserve">off is required before the checklist is filed in the ATO package.</w:t>
      </w:r>
    </w:p>
    <w:p>
      <w:pPr>
        <w:pStyle w:val="Compact"/>
        <w:numPr>
          <w:ilvl w:val="0"/>
          <w:numId w:val="1006"/>
        </w:numPr>
      </w:pPr>
      <w:r>
        <w:t xml:space="preserve">All PII fields in the system data dictionary appear in the PT-3 matrix above</w:t>
      </w:r>
    </w:p>
    <w:p>
      <w:pPr>
        <w:pStyle w:val="Compact"/>
        <w:numPr>
          <w:ilvl w:val="0"/>
          <w:numId w:val="1007"/>
        </w:numPr>
      </w:pPr>
      <w:r>
        <w:t xml:space="preserve">No PII field is used for a purpose not listed in the matrix</w:t>
      </w:r>
    </w:p>
    <w:p>
      <w:pPr>
        <w:pStyle w:val="Compact"/>
        <w:numPr>
          <w:ilvl w:val="0"/>
          <w:numId w:val="1008"/>
        </w:numPr>
      </w:pPr>
      <w:r>
        <w:t xml:space="preserve">Secondary use authorizations have been verified against current SORNs and DSAs</w:t>
      </w:r>
    </w:p>
    <w:p>
      <w:pPr>
        <w:pStyle w:val="Compact"/>
        <w:numPr>
          <w:ilvl w:val="0"/>
          <w:numId w:val="1009"/>
        </w:numPr>
      </w:pPr>
      <w:r>
        <w:t xml:space="preserve">Purview custom attributes match the current PT-3 matrix (verified by DevSecOps)</w:t>
      </w:r>
    </w:p>
    <w:p>
      <w:pPr>
        <w:pStyle w:val="Compact"/>
        <w:numPr>
          <w:ilvl w:val="0"/>
          <w:numId w:val="1010"/>
        </w:numPr>
      </w:pPr>
      <w:r>
        <w:t xml:space="preserve">Any new PII fields added since last review have been assessed for purpose and minimization</w:t>
      </w:r>
    </w:p>
    <w:p>
      <w:pPr>
        <w:pStyle w:val="Compact"/>
        <w:numPr>
          <w:ilvl w:val="0"/>
          <w:numId w:val="1011"/>
        </w:numPr>
      </w:pPr>
      <w:r>
        <w:t xml:space="preserve">Data flow map (§8) reviewed for undocumented flows that would constitute unauthorized secondary use</w:t>
      </w:r>
    </w:p>
    <w:p>
      <w:pPr>
        <w:pStyle w:val="Compact"/>
        <w:numPr>
          <w:ilvl w:val="0"/>
          <w:numId w:val="1012"/>
        </w:numPr>
      </w:pPr>
      <w:r>
        <w:t xml:space="preserve">SAOP has reviewed and signed this checklist: [NAME] / [DATE]</w:t>
      </w:r>
    </w:p>
    <w:p>
      <w:r>
        <w:pict>
          <v:rect style="width:0;height:1.5pt" o:hralign="center" o:hrstd="t" o:hr="t"/>
        </w:pict>
      </w:r>
    </w:p>
    <w:bookmarkEnd w:id="24"/>
    <w:bookmarkEnd w:id="25"/>
    <w:bookmarkStart w:id="30" w:name="consent-requirements-pt-4"/>
    <w:p>
      <w:pPr>
        <w:pStyle w:val="Heading1"/>
      </w:pPr>
      <w:r>
        <w:t xml:space="preserve">5. Consent Requirements (PT-4)</w:t>
      </w:r>
    </w:p>
    <w:bookmarkStart w:id="26" w:name="control-requirement-3"/>
    <w:p>
      <w:pPr>
        <w:pStyle w:val="Heading2"/>
      </w:pPr>
      <w:r>
        <w:t xml:space="preserve">5.1 Control Requirement</w:t>
      </w:r>
    </w:p>
    <w:p>
      <w:pPr>
        <w:pStyle w:val="FirstParagraph"/>
      </w:pPr>
      <w:r>
        <w:t xml:space="preserve">PT-4 requires the organization to implement consent mechanisms that provide</w:t>
      </w:r>
      <w:r>
        <w:t xml:space="preserve"> </w:t>
      </w:r>
      <w:r>
        <w:t xml:space="preserve">individuals with the opportunity to consent to the collection and use of their</w:t>
      </w:r>
      <w:r>
        <w:t xml:space="preserve"> </w:t>
      </w:r>
      <w:r>
        <w:t xml:space="preserve">PII. For federal systems, many collections are authorized by statute rather</w:t>
      </w:r>
      <w:r>
        <w:t xml:space="preserve"> </w:t>
      </w:r>
      <w:r>
        <w:t xml:space="preserve">than consent; PT-4 requires the agency to explicitly distinguish the two cases.</w:t>
      </w:r>
    </w:p>
    <w:bookmarkEnd w:id="26"/>
    <w:bookmarkStart w:id="27" w:name="federal-consent-vs.-statutory-authority"/>
    <w:p>
      <w:pPr>
        <w:pStyle w:val="Heading2"/>
      </w:pPr>
      <w:r>
        <w:t xml:space="preserve">5.2 Federal Consent vs. Statutory Authority</w:t>
      </w:r>
    </w:p>
    <w:p>
      <w:pPr>
        <w:pStyle w:val="FirstParagraph"/>
      </w:pPr>
      <w:r>
        <w:rPr>
          <w:b/>
          <w:bCs/>
        </w:rPr>
        <w:t xml:space="preserve">Key Principle:</w:t>
      </w:r>
      <w:r>
        <w:t xml:space="preserve"> </w:t>
      </w:r>
      <w:r>
        <w:t xml:space="preserve">Federal agencies generally do not rely on consent as the</w:t>
      </w:r>
      <w:r>
        <w:t xml:space="preserve"> </w:t>
      </w:r>
      <w:r>
        <w:t xml:space="preserve">legal basis for PII collection. When a statute authorizes collection, consent</w:t>
      </w:r>
      <w:r>
        <w:t xml:space="preserve"> </w:t>
      </w:r>
      <w:r>
        <w:t xml:space="preserve">is not required — but notice is still required (PT-5). Consent applies when:</w:t>
      </w:r>
    </w:p>
    <w:p>
      <w:pPr>
        <w:pStyle w:val="Compact"/>
        <w:numPr>
          <w:ilvl w:val="0"/>
          <w:numId w:val="1013"/>
        </w:numPr>
      </w:pPr>
      <w:r>
        <w:t xml:space="preserve">Collection is</w:t>
      </w:r>
      <w:r>
        <w:t xml:space="preserve"> </w:t>
      </w:r>
      <w:r>
        <w:rPr>
          <w:i/>
          <w:iCs/>
        </w:rPr>
        <w:t xml:space="preserve">voluntary</w:t>
      </w:r>
      <w:r>
        <w:t xml:space="preserve"> </w:t>
      </w:r>
      <w:r>
        <w:t xml:space="preserve">(e.g., email address for optional notifications)</w:t>
      </w:r>
    </w:p>
    <w:p>
      <w:pPr>
        <w:pStyle w:val="Compact"/>
        <w:numPr>
          <w:ilvl w:val="0"/>
          <w:numId w:val="1013"/>
        </w:numPr>
      </w:pPr>
      <w:r>
        <w:t xml:space="preserve">A secondary use requires individual authorization beyond the original statutory basis</w:t>
      </w:r>
    </w:p>
    <w:p>
      <w:pPr>
        <w:pStyle w:val="Compact"/>
        <w:numPr>
          <w:ilvl w:val="0"/>
          <w:numId w:val="1013"/>
        </w:numPr>
      </w:pPr>
      <w:r>
        <w:t xml:space="preserve">A web feature involves tracking technologies (cookies, analytics) subject to</w:t>
      </w:r>
      <w:r>
        <w:t xml:space="preserve"> </w:t>
      </w:r>
      <w:r>
        <w:t xml:space="preserve">OMB M-10-22 and the E-Gov Act</w:t>
      </w:r>
    </w:p>
    <w:bookmarkEnd w:id="27"/>
    <w:bookmarkStart w:id="28" w:name="consent-mechanism-matrix"/>
    <w:p>
      <w:pPr>
        <w:pStyle w:val="Heading2"/>
      </w:pPr>
      <w:r>
        <w:t xml:space="preserve">5.3 Consent Mechanism Matrix</w:t>
      </w:r>
    </w:p>
    <w:p>
      <w:pPr>
        <w:pStyle w:val="BlockText"/>
      </w:pPr>
      <w:r>
        <w:t xml:space="preserve">[FILLABLE] For each data source and interaction type, document whether consent</w:t>
      </w:r>
      <w:r>
        <w:t xml:space="preserve"> </w:t>
      </w:r>
      <w:r>
        <w:t xml:space="preserve">is required, the mechanism used, and the withdrawal process. Column</w:t>
      </w:r>
      <w:r>
        <w:t xml:space="preserve"> </w:t>
      </w:r>
      <w:r>
        <w:t xml:space="preserve">“Purview</w:t>
      </w:r>
      <w:r>
        <w:t xml:space="preserve"> </w:t>
      </w:r>
      <w:r>
        <w:t xml:space="preserve">Label”</w:t>
      </w:r>
      <w:r>
        <w:t xml:space="preserve"> </w:t>
      </w:r>
      <w:r>
        <w:t xml:space="preserve">references the sensitivity label applied in Vol III Book 05.</w:t>
      </w:r>
    </w:p>
    <w:tbl>
      <w:tblPr>
        <w:tblStyle w:val="Table"/>
        <w:tblW w:type="pct" w:w="5000"/>
        <w:tblLayout w:type="fixed"/>
        <w:tblLook w:firstRow="1" w:lastRow="0" w:firstColumn="0" w:lastColumn="0" w:noHBand="0" w:noVBand="0" w:val="0020"/>
      </w:tblPr>
      <w:tblGrid>
        <w:gridCol w:w="785"/>
        <w:gridCol w:w="1112"/>
        <w:gridCol w:w="1374"/>
        <w:gridCol w:w="1178"/>
        <w:gridCol w:w="1243"/>
        <w:gridCol w:w="1243"/>
        <w:gridCol w:w="981"/>
      </w:tblGrid>
      <w:tr>
        <w:trPr>
          <w:tblHeader w:val="on"/>
        </w:trPr>
        <w:tc>
          <w:tcPr/>
          <w:p>
            <w:pPr>
              <w:pStyle w:val="Compact"/>
            </w:pPr>
            <w:r>
              <w:t xml:space="preserve">Data Source</w:t>
            </w:r>
          </w:p>
        </w:tc>
        <w:tc>
          <w:tcPr/>
          <w:p>
            <w:pPr>
              <w:pStyle w:val="Compact"/>
            </w:pPr>
            <w:r>
              <w:t xml:space="preserve">Interaction Type</w:t>
            </w:r>
          </w:p>
        </w:tc>
        <w:tc>
          <w:tcPr/>
          <w:p>
            <w:pPr>
              <w:pStyle w:val="Compact"/>
            </w:pPr>
            <w:r>
              <w:t xml:space="preserve">Statutory Authority?</w:t>
            </w:r>
          </w:p>
        </w:tc>
        <w:tc>
          <w:tcPr/>
          <w:p>
            <w:pPr>
              <w:pStyle w:val="Compact"/>
            </w:pPr>
            <w:r>
              <w:t xml:space="preserve">Consent Required?</w:t>
            </w:r>
          </w:p>
        </w:tc>
        <w:tc>
          <w:tcPr/>
          <w:p>
            <w:pPr>
              <w:pStyle w:val="Compact"/>
            </w:pPr>
            <w:r>
              <w:t xml:space="preserve">Consent Mechanism</w:t>
            </w:r>
          </w:p>
        </w:tc>
        <w:tc>
          <w:tcPr/>
          <w:p>
            <w:pPr>
              <w:pStyle w:val="Compact"/>
            </w:pPr>
            <w:r>
              <w:t xml:space="preserve">Withdrawal Process</w:t>
            </w:r>
          </w:p>
        </w:tc>
        <w:tc>
          <w:tcPr/>
          <w:p>
            <w:pPr>
              <w:pStyle w:val="Compact"/>
            </w:pPr>
            <w:r>
              <w:t xml:space="preserve">Purview Label</w:t>
            </w:r>
          </w:p>
        </w:tc>
      </w:tr>
      <w:tr>
        <w:tc>
          <w:tcPr/>
          <w:p>
            <w:pPr>
              <w:pStyle w:val="Compact"/>
            </w:pPr>
            <w:r>
              <w:t xml:space="preserve">Citizen portal — online application</w:t>
            </w:r>
          </w:p>
        </w:tc>
        <w:tc>
          <w:tcPr/>
          <w:p>
            <w:pPr>
              <w:pStyle w:val="Compact"/>
            </w:pPr>
            <w:r>
              <w:t xml:space="preserve">Statutory PII collection</w:t>
            </w:r>
          </w:p>
        </w:tc>
        <w:tc>
          <w:tcPr/>
          <w:p>
            <w:pPr>
              <w:pStyle w:val="Compact"/>
            </w:pPr>
            <w:r>
              <w:t xml:space="preserve">Yes — the agency’s enabling statute</w:t>
            </w:r>
          </w:p>
        </w:tc>
        <w:tc>
          <w:tcPr/>
          <w:p>
            <w:pPr>
              <w:pStyle w:val="Compact"/>
            </w:pPr>
            <w:r>
              <w:t xml:space="preserve">No — notice only (PT-5)</w:t>
            </w:r>
          </w:p>
        </w:tc>
        <w:tc>
          <w:tcPr/>
          <w:p>
            <w:pPr>
              <w:pStyle w:val="Compact"/>
            </w:pPr>
            <w:r>
              <w:t xml:space="preserve">Privacy notice displayed at form entry</w:t>
            </w:r>
          </w:p>
        </w:tc>
        <w:tc>
          <w:tcPr/>
          <w:p>
            <w:pPr>
              <w:pStyle w:val="Compact"/>
            </w:pPr>
            <w:r>
              <w:t xml:space="preserve">N/A</w:t>
            </w:r>
          </w:p>
        </w:tc>
        <w:tc>
          <w:tcPr/>
          <w:p>
            <w:pPr>
              <w:pStyle w:val="Compact"/>
            </w:pPr>
            <w:r>
              <w:rPr>
                <w:rStyle w:val="VerbatimChar"/>
              </w:rPr>
              <w:t xml:space="preserve">Confidential-PII</w:t>
            </w:r>
          </w:p>
        </w:tc>
      </w:tr>
      <w:tr>
        <w:tc>
          <w:tcPr/>
          <w:p>
            <w:pPr>
              <w:pStyle w:val="Compact"/>
            </w:pPr>
            <w:r>
              <w:t xml:space="preserve">Citizen portal — email notifications</w:t>
            </w:r>
          </w:p>
        </w:tc>
        <w:tc>
          <w:tcPr/>
          <w:p>
            <w:pPr>
              <w:pStyle w:val="Compact"/>
            </w:pPr>
            <w:r>
              <w:t xml:space="preserve">Voluntary enrollment</w:t>
            </w:r>
          </w:p>
        </w:tc>
        <w:tc>
          <w:tcPr/>
          <w:p>
            <w:pPr>
              <w:pStyle w:val="Compact"/>
            </w:pPr>
            <w:r>
              <w:t xml:space="preserve">Yes (application); No (email)</w:t>
            </w:r>
          </w:p>
        </w:tc>
        <w:tc>
          <w:tcPr/>
          <w:p>
            <w:pPr>
              <w:pStyle w:val="Compact"/>
            </w:pPr>
            <w:r>
              <w:t xml:space="preserve">Yes — voluntary email</w:t>
            </w:r>
          </w:p>
        </w:tc>
        <w:tc>
          <w:tcPr/>
          <w:p>
            <w:pPr>
              <w:pStyle w:val="Compact"/>
            </w:pPr>
            <w:r>
              <w:t xml:space="preserve">Opt-in checkbox at account creation; plain-language description</w:t>
            </w:r>
          </w:p>
        </w:tc>
        <w:tc>
          <w:tcPr/>
          <w:p>
            <w:pPr>
              <w:pStyle w:val="Compact"/>
            </w:pPr>
            <w:r>
              <w:t xml:space="preserve">User account settings; immediate effect</w:t>
            </w:r>
          </w:p>
        </w:tc>
        <w:tc>
          <w:tcPr/>
          <w:p>
            <w:pPr>
              <w:pStyle w:val="Compact"/>
            </w:pPr>
            <w:r>
              <w:rPr>
                <w:rStyle w:val="VerbatimChar"/>
              </w:rPr>
              <w:t xml:space="preserve">General-PII</w:t>
            </w:r>
          </w:p>
        </w:tc>
      </w:tr>
      <w:tr>
        <w:tc>
          <w:tcPr/>
          <w:p>
            <w:pPr>
              <w:pStyle w:val="Compact"/>
            </w:pPr>
            <w:r>
              <w:t xml:space="preserve">Contact center (Amazon Connect) — call recording</w:t>
            </w:r>
          </w:p>
        </w:tc>
        <w:tc>
          <w:tcPr/>
          <w:p>
            <w:pPr>
              <w:pStyle w:val="Compact"/>
            </w:pPr>
            <w:r>
              <w:t xml:space="preserve">Voluntary continuation of call</w:t>
            </w:r>
          </w:p>
        </w:tc>
        <w:tc>
          <w:tcPr/>
          <w:p>
            <w:pPr>
              <w:pStyle w:val="Compact"/>
            </w:pPr>
            <w:r>
              <w:t xml:space="preserve">No — consent required for recording</w:t>
            </w:r>
          </w:p>
        </w:tc>
        <w:tc>
          <w:tcPr/>
          <w:p>
            <w:pPr>
              <w:pStyle w:val="Compact"/>
            </w:pPr>
            <w:r>
              <w:t xml:space="preserve">Yes</w:t>
            </w:r>
          </w:p>
        </w:tc>
        <w:tc>
          <w:tcPr/>
          <w:p>
            <w:pPr>
              <w:pStyle w:val="Compact"/>
            </w:pPr>
            <w:r>
              <w:t xml:space="preserve">Automated voice notice at call start; caller may disconnect</w:t>
            </w:r>
          </w:p>
        </w:tc>
        <w:tc>
          <w:tcPr/>
          <w:p>
            <w:pPr>
              <w:pStyle w:val="Compact"/>
            </w:pPr>
            <w:r>
              <w:t xml:space="preserve">Caller disconnects; no further recording</w:t>
            </w:r>
          </w:p>
        </w:tc>
        <w:tc>
          <w:tcPr/>
          <w:p>
            <w:pPr>
              <w:pStyle w:val="Compact"/>
            </w:pPr>
            <w:r>
              <w:rPr>
                <w:rStyle w:val="VerbatimChar"/>
              </w:rPr>
              <w:t xml:space="preserve">Confidential-PII</w:t>
            </w:r>
          </w:p>
        </w:tc>
      </w:tr>
      <w:tr>
        <w:tc>
          <w:tcPr/>
          <w:p>
            <w:pPr>
              <w:pStyle w:val="Compact"/>
            </w:pPr>
            <w:r>
              <w:t xml:space="preserve">Analytics cookies on citizen portal</w:t>
            </w:r>
          </w:p>
        </w:tc>
        <w:tc>
          <w:tcPr/>
          <w:p>
            <w:pPr>
              <w:pStyle w:val="Compact"/>
            </w:pPr>
            <w:r>
              <w:t xml:space="preserve">Tracking technology</w:t>
            </w:r>
          </w:p>
        </w:tc>
        <w:tc>
          <w:tcPr/>
          <w:p>
            <w:pPr>
              <w:pStyle w:val="Compact"/>
            </w:pPr>
            <w:r>
              <w:t xml:space="preserve">No statutory basis</w:t>
            </w:r>
          </w:p>
        </w:tc>
        <w:tc>
          <w:tcPr/>
          <w:p>
            <w:pPr>
              <w:pStyle w:val="Compact"/>
            </w:pPr>
            <w:r>
              <w:t xml:space="preserve">Yes — OMB M-10-22</w:t>
            </w:r>
          </w:p>
        </w:tc>
        <w:tc>
          <w:tcPr/>
          <w:p>
            <w:pPr>
              <w:pStyle w:val="Compact"/>
            </w:pPr>
            <w:r>
              <w:t xml:space="preserve">Cookie consent banner on first visit; DoNotTrack respected</w:t>
            </w:r>
          </w:p>
        </w:tc>
        <w:tc>
          <w:tcPr/>
          <w:p>
            <w:pPr>
              <w:pStyle w:val="Compact"/>
            </w:pPr>
            <w:r>
              <w:t xml:space="preserve">Cookie preference center; opt-out</w:t>
            </w:r>
          </w:p>
        </w:tc>
        <w:tc>
          <w:tcPr/>
          <w:p>
            <w:pPr>
              <w:pStyle w:val="Compact"/>
            </w:pPr>
            <w:r>
              <w:rPr>
                <w:rStyle w:val="VerbatimChar"/>
              </w:rPr>
              <w:t xml:space="preserve">General</w:t>
            </w:r>
          </w:p>
        </w:tc>
      </w:tr>
      <w:tr>
        <w:tc>
          <w:tcPr/>
          <w:p>
            <w:pPr>
              <w:pStyle w:val="Compact"/>
            </w:pPr>
            <w:r>
              <w:t xml:space="preserve">Cross-agency data sharing (API inbound)</w:t>
            </w:r>
          </w:p>
        </w:tc>
        <w:tc>
          <w:tcPr/>
          <w:p>
            <w:pPr>
              <w:pStyle w:val="Compact"/>
            </w:pPr>
            <w:r>
              <w:t xml:space="preserve">Data received from [AGENCY]</w:t>
            </w:r>
          </w:p>
        </w:tc>
        <w:tc>
          <w:tcPr/>
          <w:p>
            <w:pPr>
              <w:pStyle w:val="Compact"/>
            </w:pPr>
            <w:r>
              <w:t xml:space="preserve">Yes — DSA + Privacy Act routine use</w:t>
            </w:r>
          </w:p>
        </w:tc>
        <w:tc>
          <w:tcPr/>
          <w:p>
            <w:pPr>
              <w:pStyle w:val="Compact"/>
            </w:pPr>
            <w:r>
              <w:t xml:space="preserve">No — DSA governs</w:t>
            </w:r>
          </w:p>
        </w:tc>
        <w:tc>
          <w:tcPr/>
          <w:p>
            <w:pPr>
              <w:pStyle w:val="Compact"/>
            </w:pPr>
            <w:r>
              <w:t xml:space="preserve">Data-sharing agreement on file; individuals notified via sending agency</w:t>
            </w:r>
          </w:p>
        </w:tc>
        <w:tc>
          <w:tcPr/>
          <w:p>
            <w:pPr>
              <w:pStyle w:val="Compact"/>
            </w:pPr>
            <w:r>
              <w:t xml:space="preserve">N/A — governed by originating SORN</w:t>
            </w:r>
          </w:p>
        </w:tc>
        <w:tc>
          <w:tcPr/>
          <w:p>
            <w:pPr>
              <w:pStyle w:val="Compact"/>
            </w:pPr>
            <w:r>
              <w:rPr>
                <w:rStyle w:val="VerbatimChar"/>
              </w:rPr>
              <w:t xml:space="preserve">Confidential-PII</w:t>
            </w:r>
          </w:p>
        </w:tc>
      </w:tr>
      <w:tr>
        <w:tc>
          <w:tcPr/>
          <w:p>
            <w:pPr>
              <w:pStyle w:val="Compact"/>
            </w:pPr>
            <w:r>
              <w:t xml:space="preserve">HR system — employee records</w:t>
            </w:r>
          </w:p>
        </w:tc>
        <w:tc>
          <w:tcPr/>
          <w:p>
            <w:pPr>
              <w:pStyle w:val="Compact"/>
            </w:pPr>
            <w:r>
              <w:t xml:space="preserve">Employment relationship</w:t>
            </w:r>
          </w:p>
        </w:tc>
        <w:tc>
          <w:tcPr/>
          <w:p>
            <w:pPr>
              <w:pStyle w:val="Compact"/>
            </w:pPr>
            <w:r>
              <w:t xml:space="preserve">Yes — 5 U.S.C. §552a, OPM schedules</w:t>
            </w:r>
          </w:p>
        </w:tc>
        <w:tc>
          <w:tcPr/>
          <w:p>
            <w:pPr>
              <w:pStyle w:val="Compact"/>
            </w:pPr>
            <w:r>
              <w:t xml:space="preserve">No — statutory</w:t>
            </w:r>
          </w:p>
        </w:tc>
        <w:tc>
          <w:tcPr/>
          <w:p>
            <w:pPr>
              <w:pStyle w:val="Compact"/>
            </w:pPr>
            <w:r>
              <w:t xml:space="preserve">SF-2809/2810 enrollment forms include Privacy Act statement</w:t>
            </w:r>
          </w:p>
        </w:tc>
        <w:tc>
          <w:tcPr/>
          <w:p>
            <w:pPr>
              <w:pStyle w:val="Compact"/>
            </w:pPr>
            <w:r>
              <w:t xml:space="preserve">N/A — statutory</w:t>
            </w:r>
          </w:p>
        </w:tc>
        <w:tc>
          <w:tcPr/>
          <w:p>
            <w:pPr>
              <w:pStyle w:val="Compact"/>
            </w:pPr>
            <w:r>
              <w:rPr>
                <w:rStyle w:val="VerbatimChar"/>
              </w:rPr>
              <w:t xml:space="preserve">Restricted-HR</w:t>
            </w:r>
          </w:p>
        </w:tc>
      </w:tr>
      <w:tr>
        <w:tc>
          <w:tcPr/>
          <w:p>
            <w:pPr>
              <w:pStyle w:val="Compact"/>
            </w:pPr>
            <w:r>
              <w:t xml:space="preserve">[DATA SOURCE]</w:t>
            </w:r>
          </w:p>
        </w:tc>
        <w:tc>
          <w:tcPr/>
          <w:p>
            <w:pPr>
              <w:pStyle w:val="Compact"/>
            </w:pPr>
            <w:r>
              <w:t xml:space="preserve">[INTERACTION]</w:t>
            </w:r>
          </w:p>
        </w:tc>
        <w:tc>
          <w:tcPr/>
          <w:p>
            <w:pPr>
              <w:pStyle w:val="Compact"/>
            </w:pPr>
            <w:r>
              <w:t xml:space="preserve">[YES/NO]</w:t>
            </w:r>
          </w:p>
        </w:tc>
        <w:tc>
          <w:tcPr/>
          <w:p>
            <w:pPr>
              <w:pStyle w:val="Compact"/>
            </w:pPr>
            <w:r>
              <w:t xml:space="preserve">[YES/NO]</w:t>
            </w:r>
          </w:p>
        </w:tc>
        <w:tc>
          <w:tcPr/>
          <w:p>
            <w:pPr>
              <w:pStyle w:val="Compact"/>
            </w:pPr>
            <w:r>
              <w:t xml:space="preserve">[MECHANISM]</w:t>
            </w:r>
          </w:p>
        </w:tc>
        <w:tc>
          <w:tcPr/>
          <w:p>
            <w:pPr>
              <w:pStyle w:val="Compact"/>
            </w:pPr>
            <w:r>
              <w:t xml:space="preserve">[PROCESS]</w:t>
            </w:r>
          </w:p>
        </w:tc>
        <w:tc>
          <w:tcPr/>
          <w:p>
            <w:pPr>
              <w:pStyle w:val="Compact"/>
            </w:pPr>
            <w:r>
              <w:t xml:space="preserve">[LABEL]</w:t>
            </w:r>
          </w:p>
        </w:tc>
      </w:tr>
    </w:tbl>
    <w:bookmarkEnd w:id="28"/>
    <w:bookmarkStart w:id="29" w:name="consent-pattern-notes"/>
    <w:p>
      <w:pPr>
        <w:pStyle w:val="Heading2"/>
      </w:pPr>
      <w:r>
        <w:t xml:space="preserve">5.4 Consent Pattern Notes</w:t>
      </w:r>
    </w:p>
    <w:p>
      <w:pPr>
        <w:pStyle w:val="FirstParagraph"/>
      </w:pPr>
      <w:r>
        <w:rPr>
          <w:b/>
          <w:bCs/>
        </w:rPr>
        <w:t xml:space="preserve">Web Form Pattern (Explicit Checkbox):</w:t>
      </w:r>
      <w:r>
        <w:t xml:space="preserve"> </w:t>
      </w:r>
      <w:r>
        <w:t xml:space="preserve">For voluntary collection on web forms,</w:t>
      </w:r>
      <w:r>
        <w:t xml:space="preserve"> </w:t>
      </w:r>
      <w:r>
        <w:t xml:space="preserve">use an unchecked opt-in checkbox. Pre-checked boxes do not constitute valid</w:t>
      </w:r>
      <w:r>
        <w:t xml:space="preserve"> </w:t>
      </w:r>
      <w:r>
        <w:t xml:space="preserve">consent. The checkbox label must identify: (1) what data is collected, (2) how</w:t>
      </w:r>
      <w:r>
        <w:t xml:space="preserve"> </w:t>
      </w:r>
      <w:r>
        <w:t xml:space="preserve">it will be used, and (3) that participation is voluntary with no penalty for</w:t>
      </w:r>
      <w:r>
        <w:t xml:space="preserve"> </w:t>
      </w:r>
      <w:r>
        <w:t xml:space="preserve">refusal.</w:t>
      </w:r>
    </w:p>
    <w:p>
      <w:pPr>
        <w:pStyle w:val="BodyText"/>
      </w:pPr>
      <w:r>
        <w:rPr>
          <w:b/>
          <w:bCs/>
        </w:rPr>
        <w:t xml:space="preserve">Automated Collection Pattern (Notice at Point of Collection):</w:t>
      </w:r>
      <w:r>
        <w:t xml:space="preserve"> </w:t>
      </w:r>
      <w:r>
        <w:t xml:space="preserve">Where consent</w:t>
      </w:r>
      <w:r>
        <w:t xml:space="preserve"> </w:t>
      </w:r>
      <w:r>
        <w:t xml:space="preserve">is not required but notice is (e.g., call recording under statutory authority),</w:t>
      </w:r>
      <w:r>
        <w:t xml:space="preserve"> </w:t>
      </w:r>
      <w:r>
        <w:t xml:space="preserve">provide a clear notice before collection begins. Document the notice text in the</w:t>
      </w:r>
      <w:r>
        <w:t xml:space="preserve"> </w:t>
      </w:r>
      <w:r>
        <w:t xml:space="preserve">PT-5 template (§6).</w:t>
      </w:r>
    </w:p>
    <w:p>
      <w:pPr>
        <w:pStyle w:val="BodyText"/>
      </w:pPr>
      <w:r>
        <w:rPr>
          <w:b/>
          <w:bCs/>
        </w:rPr>
        <w:t xml:space="preserve">Inter-Agency Sharing Pattern (Data Sharing Agreement):</w:t>
      </w:r>
      <w:r>
        <w:t xml:space="preserve"> </w:t>
      </w:r>
      <w:r>
        <w:t xml:space="preserve">When PII is received</w:t>
      </w:r>
      <w:r>
        <w:t xml:space="preserve"> </w:t>
      </w:r>
      <w:r>
        <w:t xml:space="preserve">from another federal agency, the DSA serves as the legal instrument. Individuals</w:t>
      </w:r>
      <w:r>
        <w:t xml:space="preserve"> </w:t>
      </w:r>
      <w:r>
        <w:t xml:space="preserve">are deemed notified through the originating agency’s SORN. Verify the sending</w:t>
      </w:r>
      <w:r>
        <w:t xml:space="preserve"> </w:t>
      </w:r>
      <w:r>
        <w:t xml:space="preserve">agency’s SORN includes a routine use that covers the receiving use case.</w:t>
      </w:r>
    </w:p>
    <w:p>
      <w:r>
        <w:pict>
          <v:rect style="width:0;height:1.5pt" o:hralign="center" o:hrstd="t" o:hr="t"/>
        </w:pict>
      </w:r>
    </w:p>
    <w:bookmarkEnd w:id="29"/>
    <w:bookmarkEnd w:id="30"/>
    <w:bookmarkStart w:id="36" w:name="privacy-notice-pt-5"/>
    <w:p>
      <w:pPr>
        <w:pStyle w:val="Heading1"/>
      </w:pPr>
      <w:r>
        <w:t xml:space="preserve">6. Privacy Notice (PT-5)</w:t>
      </w:r>
    </w:p>
    <w:bookmarkStart w:id="31" w:name="control-requirement-4"/>
    <w:p>
      <w:pPr>
        <w:pStyle w:val="Heading2"/>
      </w:pPr>
      <w:r>
        <w:t xml:space="preserve">6.1 Control Requirement</w:t>
      </w:r>
    </w:p>
    <w:p>
      <w:pPr>
        <w:pStyle w:val="FirstParagraph"/>
      </w:pPr>
      <w:r>
        <w:t xml:space="preserve">PT-5 requires the organization to provide notice to individuals regarding the</w:t>
      </w:r>
      <w:r>
        <w:t xml:space="preserve"> </w:t>
      </w:r>
      <w:r>
        <w:t xml:space="preserve">collection, use, maintenance, and dissemination of PII. Notice must be provided</w:t>
      </w:r>
      <w:r>
        <w:t xml:space="preserve"> </w:t>
      </w:r>
      <w:r>
        <w:t xml:space="preserve">at or before the time of collection. For web-based systems, OMB M-03-22 and</w:t>
      </w:r>
      <w:r>
        <w:t xml:space="preserve"> </w:t>
      </w:r>
      <w:r>
        <w:t xml:space="preserve">the E-Gov Act §208 specify required notice elements.</w:t>
      </w:r>
    </w:p>
    <w:bookmarkEnd w:id="31"/>
    <w:bookmarkStart w:id="32" w:name="required-notice-elements-omb-m-03-22"/>
    <w:p>
      <w:pPr>
        <w:pStyle w:val="Heading2"/>
      </w:pPr>
      <w:r>
        <w:t xml:space="preserve">6.2 Required Notice Elements (OMB M-03-22)</w:t>
      </w:r>
    </w:p>
    <w:p>
      <w:pPr>
        <w:pStyle w:val="FirstParagraph"/>
      </w:pPr>
      <w:r>
        <w:t xml:space="preserve">Every privacy notice for a federal web-based system must include:</w:t>
      </w:r>
    </w:p>
    <w:p>
      <w:pPr>
        <w:pStyle w:val="Compact"/>
        <w:numPr>
          <w:ilvl w:val="0"/>
          <w:numId w:val="1014"/>
        </w:numPr>
      </w:pPr>
      <w:r>
        <w:t xml:space="preserve">The</w:t>
      </w:r>
      <w:r>
        <w:t xml:space="preserve"> </w:t>
      </w:r>
      <w:r>
        <w:rPr>
          <w:b/>
          <w:bCs/>
        </w:rPr>
        <w:t xml:space="preserve">identity</w:t>
      </w:r>
      <w:r>
        <w:t xml:space="preserve"> </w:t>
      </w:r>
      <w:r>
        <w:t xml:space="preserve">of the agency collecting the information</w:t>
      </w:r>
    </w:p>
    <w:p>
      <w:pPr>
        <w:pStyle w:val="Compact"/>
        <w:numPr>
          <w:ilvl w:val="0"/>
          <w:numId w:val="1014"/>
        </w:numPr>
      </w:pPr>
      <w:r>
        <w:t xml:space="preserve">The</w:t>
      </w:r>
      <w:r>
        <w:t xml:space="preserve"> </w:t>
      </w:r>
      <w:r>
        <w:rPr>
          <w:b/>
          <w:bCs/>
        </w:rPr>
        <w:t xml:space="preserve">legal authority</w:t>
      </w:r>
      <w:r>
        <w:t xml:space="preserve"> </w:t>
      </w:r>
      <w:r>
        <w:t xml:space="preserve">for the collection (statute or executive order)</w:t>
      </w:r>
    </w:p>
    <w:p>
      <w:pPr>
        <w:pStyle w:val="Compact"/>
        <w:numPr>
          <w:ilvl w:val="0"/>
          <w:numId w:val="1014"/>
        </w:numPr>
      </w:pPr>
      <w:r>
        <w:t xml:space="preserve">The</w:t>
      </w:r>
      <w:r>
        <w:t xml:space="preserve"> </w:t>
      </w:r>
      <w:r>
        <w:rPr>
          <w:b/>
          <w:bCs/>
        </w:rPr>
        <w:t xml:space="preserve">principal purpose(s)</w:t>
      </w:r>
      <w:r>
        <w:t xml:space="preserve"> </w:t>
      </w:r>
      <w:r>
        <w:t xml:space="preserve">for which the information will be used</w:t>
      </w:r>
    </w:p>
    <w:p>
      <w:pPr>
        <w:pStyle w:val="Compact"/>
        <w:numPr>
          <w:ilvl w:val="0"/>
          <w:numId w:val="1014"/>
        </w:numPr>
      </w:pPr>
      <w:r>
        <w:t xml:space="preserve">The</w:t>
      </w:r>
      <w:r>
        <w:t xml:space="preserve"> </w:t>
      </w:r>
      <w:r>
        <w:rPr>
          <w:b/>
          <w:bCs/>
        </w:rPr>
        <w:t xml:space="preserve">routine uses</w:t>
      </w:r>
      <w:r>
        <w:t xml:space="preserve"> </w:t>
      </w:r>
      <w:r>
        <w:t xml:space="preserve">— disclosures permitted outside the originating system</w:t>
      </w:r>
    </w:p>
    <w:p>
      <w:pPr>
        <w:pStyle w:val="Compact"/>
        <w:numPr>
          <w:ilvl w:val="0"/>
          <w:numId w:val="1014"/>
        </w:numPr>
      </w:pPr>
      <w:r>
        <w:t xml:space="preserve">Whether providing the information is</w:t>
      </w:r>
      <w:r>
        <w:t xml:space="preserve"> </w:t>
      </w:r>
      <w:r>
        <w:rPr>
          <w:b/>
          <w:bCs/>
        </w:rPr>
        <w:t xml:space="preserve">mandatory or voluntary</w:t>
      </w:r>
    </w:p>
    <w:p>
      <w:pPr>
        <w:pStyle w:val="Compact"/>
        <w:numPr>
          <w:ilvl w:val="0"/>
          <w:numId w:val="1014"/>
        </w:numPr>
      </w:pPr>
      <w:r>
        <w:t xml:space="preserve">The</w:t>
      </w:r>
      <w:r>
        <w:t xml:space="preserve"> </w:t>
      </w:r>
      <w:r>
        <w:rPr>
          <w:b/>
          <w:bCs/>
        </w:rPr>
        <w:t xml:space="preserve">effects of non-disclosure</w:t>
      </w:r>
      <w:r>
        <w:t xml:space="preserve"> </w:t>
      </w:r>
      <w:r>
        <w:t xml:space="preserve">— what happens if the individual does not provide the information</w:t>
      </w:r>
    </w:p>
    <w:bookmarkEnd w:id="32"/>
    <w:bookmarkStart w:id="33" w:name="X80dfe9692d648cdc1fa6df7e3588a59f399a442"/>
    <w:p>
      <w:pPr>
        <w:pStyle w:val="Heading2"/>
      </w:pPr>
      <w:r>
        <w:t xml:space="preserve">6.3 Model Privacy Notice — Agency Citizen Portal</w:t>
      </w:r>
    </w:p>
    <w:p>
      <w:pPr>
        <w:pStyle w:val="BlockText"/>
      </w:pPr>
      <w:r>
        <w:t xml:space="preserve">[FILLABLE] The following model notice may be adapted for any Agency citizen-</w:t>
      </w:r>
      <w:r>
        <w:t xml:space="preserve"> </w:t>
      </w:r>
      <w:r>
        <w:t xml:space="preserve">facing system. Replace all [PLACEHOLDER] values with system-specific content.</w:t>
      </w:r>
      <w:r>
        <w:t xml:space="preserve"> </w:t>
      </w:r>
      <w:r>
        <w:t xml:space="preserve">Legal Counsel and SAOP must review the final text before publication.</w:t>
      </w:r>
    </w:p>
    <w:p>
      <w:r>
        <w:pict>
          <v:rect style="width:0;height:1.5pt" o:hralign="center" o:hrstd="t" o:hr="t"/>
        </w:pict>
      </w:r>
    </w:p>
    <w:p>
      <w:pPr>
        <w:pStyle w:val="FirstParagraph"/>
      </w:pPr>
      <w:r>
        <w:rPr>
          <w:b/>
          <w:bCs/>
        </w:rPr>
        <w:t xml:space="preserve">PRIVACY ACT STATEMENT</w:t>
      </w:r>
    </w:p>
    <w:p>
      <w:pPr>
        <w:pStyle w:val="BodyText"/>
      </w:pPr>
      <w:r>
        <w:rPr>
          <w:i/>
          <w:iCs/>
        </w:rPr>
        <w:t xml:space="preserve">[SYSTEM NAME] — [AGENCY PROGRAM NAME]</w:t>
      </w:r>
    </w:p>
    <w:p>
      <w:pPr>
        <w:pStyle w:val="BodyText"/>
      </w:pPr>
      <w:r>
        <w:rPr>
          <w:b/>
          <w:bCs/>
        </w:rPr>
        <w:t xml:space="preserve">Collecting Agency:</w:t>
      </w:r>
      <w:r>
        <w:t xml:space="preserve"> </w:t>
      </w:r>
      <w:r>
        <w:t xml:space="preserve">Agency, [PROGRAM OFFICE]</w:t>
      </w:r>
    </w:p>
    <w:p>
      <w:pPr>
        <w:pStyle w:val="BodyText"/>
      </w:pPr>
      <w:r>
        <w:rPr>
          <w:b/>
          <w:bCs/>
        </w:rPr>
        <w:t xml:space="preserve">Legal Authority:</w:t>
      </w:r>
      <w:r>
        <w:t xml:space="preserve"> </w:t>
      </w:r>
      <w:r>
        <w:t xml:space="preserve">[CITATION — e.g.,</w:t>
      </w:r>
      <w:r>
        <w:t xml:space="preserve"> </w:t>
      </w:r>
      <w:r>
        <w:t xml:space="preserve">“Section 205(c) of the Social Security</w:t>
      </w:r>
      <w:r>
        <w:t xml:space="preserve"> </w:t>
      </w:r>
      <w:r>
        <w:t xml:space="preserve">Act (42 U.S.C. §405(c)) authorizes Agency to collect this information.”</w:t>
      </w:r>
      <w:r>
        <w:t xml:space="preserve">]</w:t>
      </w:r>
    </w:p>
    <w:p>
      <w:pPr>
        <w:pStyle w:val="BodyText"/>
      </w:pPr>
      <w:r>
        <w:rPr>
          <w:b/>
          <w:bCs/>
        </w:rPr>
        <w:t xml:space="preserve">Purpose:</w:t>
      </w:r>
      <w:r>
        <w:t xml:space="preserve"> </w:t>
      </w:r>
      <w:r>
        <w:t xml:space="preserve">Agency collects this information to [PRIMARY PURPOSE — e.g.,</w:t>
      </w:r>
      <w:r>
        <w:t xml:space="preserve"> </w:t>
      </w:r>
      <w:r>
        <w:t xml:space="preserve">“process your application for retirement, disability, or survivor benefits and</w:t>
      </w:r>
      <w:r>
        <w:t xml:space="preserve"> </w:t>
      </w:r>
      <w:r>
        <w:t xml:space="preserve">to verify your eligibility”</w:t>
      </w:r>
      <w:r>
        <w:t xml:space="preserve">]. Your information may also be used to [SECONDARY</w:t>
      </w:r>
      <w:r>
        <w:t xml:space="preserve"> </w:t>
      </w:r>
      <w:r>
        <w:t xml:space="preserve">PURPOSE IF ANY — e.g.,</w:t>
      </w:r>
      <w:r>
        <w:t xml:space="preserve"> </w:t>
      </w:r>
      <w:r>
        <w:t xml:space="preserve">“detect and prevent fraud in connection with Agency</w:t>
      </w:r>
      <w:r>
        <w:t xml:space="preserve"> </w:t>
      </w:r>
      <w:r>
        <w:t xml:space="preserve">programs”</w:t>
      </w:r>
      <w:r>
        <w:t xml:space="preserve">].</w:t>
      </w:r>
    </w:p>
    <w:p>
      <w:pPr>
        <w:pStyle w:val="BodyText"/>
      </w:pPr>
      <w:r>
        <w:rPr>
          <w:b/>
          <w:bCs/>
        </w:rPr>
        <w:t xml:space="preserve">Routine Uses:</w:t>
      </w:r>
      <w:r>
        <w:t xml:space="preserve"> </w:t>
      </w:r>
      <w:r>
        <w:t xml:space="preserve">Agency may disclose information from this system as permitted</w:t>
      </w:r>
      <w:r>
        <w:t xml:space="preserve"> </w:t>
      </w:r>
      <w:r>
        <w:t xml:space="preserve">by the Privacy Act, including to: [LIST KEY ROUTINE USES FROM SORN —</w:t>
      </w:r>
      <w:r>
        <w:t xml:space="preserve"> </w:t>
      </w:r>
      <w:r>
        <w:t xml:space="preserve">e.g.,</w:t>
      </w:r>
      <w:r>
        <w:t xml:space="preserve"> </w:t>
      </w:r>
      <w:r>
        <w:t xml:space="preserve">“the Department of Justice for litigation support; state agencies for</w:t>
      </w:r>
      <w:r>
        <w:t xml:space="preserve"> </w:t>
      </w:r>
      <w:r>
        <w:t xml:space="preserve">Medicaid coordination; the Internal Revenue Service for tax record matching</w:t>
      </w:r>
      <w:r>
        <w:t xml:space="preserve"> </w:t>
      </w:r>
      <w:r>
        <w:t xml:space="preserve">under the agency’s enabling statute §[SECTION]”</w:t>
      </w:r>
      <w:r>
        <w:t xml:space="preserve">]. A complete list of routine uses appears</w:t>
      </w:r>
      <w:r>
        <w:t xml:space="preserve"> </w:t>
      </w:r>
      <w:r>
        <w:t xml:space="preserve">in the System of Records Notice [SORN REFERENCE], published in the Federal</w:t>
      </w:r>
      <w:r>
        <w:t xml:space="preserve"> </w:t>
      </w:r>
      <w:r>
        <w:t xml:space="preserve">Register at [FR CITATION].</w:t>
      </w:r>
    </w:p>
    <w:p>
      <w:pPr>
        <w:pStyle w:val="BodyText"/>
      </w:pPr>
      <w:r>
        <w:rPr>
          <w:b/>
          <w:bCs/>
        </w:rPr>
        <w:t xml:space="preserve">Disclosure:</w:t>
      </w:r>
      <w:r>
        <w:t xml:space="preserve"> </w:t>
      </w:r>
      <w:r>
        <w:t xml:space="preserve">Providing this information is [MANDATORY / VOLUNTARY].</w:t>
      </w:r>
    </w:p>
    <w:p>
      <w:pPr>
        <w:pStyle w:val="BlockText"/>
      </w:pPr>
      <w:r>
        <w:t xml:space="preserve">[FILLABLE — MANDATORY CASE:] Providing your [SPECIFIC FIELD, e.g., Social</w:t>
      </w:r>
      <w:r>
        <w:t xml:space="preserve"> </w:t>
      </w:r>
      <w:r>
        <w:t xml:space="preserve">Security Number] is mandatory under [LEGAL CITATION]. Failure to provide</w:t>
      </w:r>
      <w:r>
        <w:t xml:space="preserve"> </w:t>
      </w:r>
      <w:r>
        <w:t xml:space="preserve">this information will result in [CONSEQUENCE — e.g.,</w:t>
      </w:r>
      <w:r>
        <w:t xml:space="preserve"> </w:t>
      </w:r>
      <w:r>
        <w:t xml:space="preserve">“delay or denial of</w:t>
      </w:r>
      <w:r>
        <w:t xml:space="preserve"> </w:t>
      </w:r>
      <w:r>
        <w:t xml:space="preserve">your benefit application”</w:t>
      </w:r>
      <w:r>
        <w:t xml:space="preserve">].</w:t>
      </w:r>
    </w:p>
    <w:p>
      <w:pPr>
        <w:pStyle w:val="BlockText"/>
      </w:pPr>
      <w:r>
        <w:t xml:space="preserve">[FILLABLE — VOLUNTARY CASE:] Providing your [SPECIFIC FIELD, e.g., email</w:t>
      </w:r>
      <w:r>
        <w:t xml:space="preserve"> </w:t>
      </w:r>
      <w:r>
        <w:t xml:space="preserve">address for notifications] is voluntary. There is no penalty for choosing</w:t>
      </w:r>
      <w:r>
        <w:t xml:space="preserve"> </w:t>
      </w:r>
      <w:r>
        <w:t xml:space="preserve">not to provide this information.</w:t>
      </w:r>
    </w:p>
    <w:p>
      <w:r>
        <w:pict>
          <v:rect style="width:0;height:1.5pt" o:hralign="center" o:hrstd="t" o:hr="t"/>
        </w:pict>
      </w:r>
    </w:p>
    <w:bookmarkEnd w:id="33"/>
    <w:bookmarkStart w:id="34" w:name="web-notice-placement-requirements"/>
    <w:p>
      <w:pPr>
        <w:pStyle w:val="Heading2"/>
      </w:pPr>
      <w:r>
        <w:t xml:space="preserve">6.4 Web Notice Placement Requirements</w:t>
      </w:r>
    </w:p>
    <w:p>
      <w:pPr>
        <w:pStyle w:val="FirstParagraph"/>
      </w:pPr>
      <w:r>
        <w:t xml:space="preserve">Privacy notices must appear at the following touchpoints on Agency web systems:</w:t>
      </w:r>
    </w:p>
    <w:tbl>
      <w:tblPr>
        <w:tblStyle w:val="Table"/>
        <w:tblW w:type="pct" w:w="5000"/>
        <w:tblLayout w:type="fixed"/>
        <w:tblLook w:firstRow="1" w:lastRow="0" w:firstColumn="0" w:lastColumn="0" w:noHBand="0" w:noVBand="0" w:val="0020"/>
      </w:tblPr>
      <w:tblGrid>
        <w:gridCol w:w="1936"/>
        <w:gridCol w:w="2112"/>
        <w:gridCol w:w="3872"/>
      </w:tblGrid>
      <w:tr>
        <w:trPr>
          <w:tblHeader w:val="on"/>
        </w:trPr>
        <w:tc>
          <w:tcPr/>
          <w:p>
            <w:pPr>
              <w:pStyle w:val="Compact"/>
            </w:pPr>
            <w:r>
              <w:t xml:space="preserve">Placement</w:t>
            </w:r>
          </w:p>
        </w:tc>
        <w:tc>
          <w:tcPr/>
          <w:p>
            <w:pPr>
              <w:pStyle w:val="Compact"/>
            </w:pPr>
            <w:r>
              <w:t xml:space="preserve">Requirement</w:t>
            </w:r>
          </w:p>
        </w:tc>
        <w:tc>
          <w:tcPr/>
          <w:p>
            <w:pPr>
              <w:pStyle w:val="Compact"/>
            </w:pPr>
            <w:r>
              <w:t xml:space="preserve">OMB / E-Gov Reference</w:t>
            </w:r>
          </w:p>
        </w:tc>
      </w:tr>
      <w:tr>
        <w:tc>
          <w:tcPr/>
          <w:p>
            <w:pPr>
              <w:pStyle w:val="Compact"/>
            </w:pPr>
            <w:r>
              <w:t xml:space="preserve">Website privacy policy page</w:t>
            </w:r>
          </w:p>
        </w:tc>
        <w:tc>
          <w:tcPr/>
          <w:p>
            <w:pPr>
              <w:pStyle w:val="Compact"/>
            </w:pPr>
            <w:r>
              <w:t xml:space="preserve">Full notice; linked from every page footer</w:t>
            </w:r>
          </w:p>
        </w:tc>
        <w:tc>
          <w:tcPr/>
          <w:p>
            <w:pPr>
              <w:pStyle w:val="Compact"/>
            </w:pPr>
            <w:r>
              <w:t xml:space="preserve">E-Gov Act §208(b)(1)</w:t>
            </w:r>
          </w:p>
        </w:tc>
      </w:tr>
      <w:tr>
        <w:tc>
          <w:tcPr/>
          <w:p>
            <w:pPr>
              <w:pStyle w:val="Compact"/>
            </w:pPr>
            <w:r>
              <w:t xml:space="preserve">Online forms (before submission)</w:t>
            </w:r>
          </w:p>
        </w:tc>
        <w:tc>
          <w:tcPr/>
          <w:p>
            <w:pPr>
              <w:pStyle w:val="Compact"/>
            </w:pPr>
            <w:r>
              <w:t xml:space="preserve">Privacy Act Statement or link to full notice above each form</w:t>
            </w:r>
          </w:p>
        </w:tc>
        <w:tc>
          <w:tcPr/>
          <w:p>
            <w:pPr>
              <w:pStyle w:val="Compact"/>
            </w:pPr>
            <w:r>
              <w:t xml:space="preserve">OMB M-03-22 §III.A</w:t>
            </w:r>
          </w:p>
        </w:tc>
      </w:tr>
      <w:tr>
        <w:tc>
          <w:tcPr/>
          <w:p>
            <w:pPr>
              <w:pStyle w:val="Compact"/>
            </w:pPr>
            <w:r>
              <w:t xml:space="preserve">Cookie / tracking notice banner</w:t>
            </w:r>
          </w:p>
        </w:tc>
        <w:tc>
          <w:tcPr/>
          <w:p>
            <w:pPr>
              <w:pStyle w:val="Compact"/>
            </w:pPr>
            <w:r>
              <w:t xml:space="preserve">Disclosure of tracking technologies on first visit</w:t>
            </w:r>
          </w:p>
        </w:tc>
        <w:tc>
          <w:tcPr/>
          <w:p>
            <w:pPr>
              <w:pStyle w:val="Compact"/>
            </w:pPr>
            <w:r>
              <w:t xml:space="preserve">OMB M-10-22</w:t>
            </w:r>
          </w:p>
        </w:tc>
      </w:tr>
      <w:tr>
        <w:tc>
          <w:tcPr/>
          <w:p>
            <w:pPr>
              <w:pStyle w:val="Compact"/>
            </w:pPr>
            <w:r>
              <w:t xml:space="preserve">Mobile apps (if applicable)</w:t>
            </w:r>
          </w:p>
        </w:tc>
        <w:tc>
          <w:tcPr/>
          <w:p>
            <w:pPr>
              <w:pStyle w:val="Compact"/>
            </w:pPr>
            <w:r>
              <w:t xml:space="preserve">In-app privacy notice at first launch; link to full policy</w:t>
            </w:r>
          </w:p>
        </w:tc>
        <w:tc>
          <w:tcPr/>
          <w:p>
            <w:pPr>
              <w:pStyle w:val="Compact"/>
            </w:pPr>
            <w:r>
              <w:t xml:space="preserve">OMB M-03-22 §III.B</w:t>
            </w:r>
          </w:p>
        </w:tc>
      </w:tr>
      <w:tr>
        <w:tc>
          <w:tcPr/>
          <w:p>
            <w:pPr>
              <w:pStyle w:val="Compact"/>
            </w:pPr>
            <w:r>
              <w:t xml:space="preserve">Email confirmation of submission</w:t>
            </w:r>
          </w:p>
        </w:tc>
        <w:tc>
          <w:tcPr/>
          <w:p>
            <w:pPr>
              <w:pStyle w:val="Compact"/>
            </w:pPr>
            <w:r>
              <w:t xml:space="preserve">Reference to full privacy notice URL</w:t>
            </w:r>
          </w:p>
        </w:tc>
        <w:tc>
          <w:tcPr/>
          <w:p>
            <w:pPr>
              <w:pStyle w:val="Compact"/>
            </w:pPr>
            <w:r>
              <w:t xml:space="preserve">Agency best practice</w:t>
            </w:r>
          </w:p>
        </w:tc>
      </w:tr>
    </w:tbl>
    <w:bookmarkEnd w:id="34"/>
    <w:bookmarkStart w:id="35" w:name="Xd58b74081421a3ac1e2e14d9953333a6d9858fe"/>
    <w:p>
      <w:pPr>
        <w:pStyle w:val="Heading2"/>
      </w:pPr>
      <w:r>
        <w:t xml:space="preserve">6.5 FedRAMP 20x Machine-Accessible Notice Requirement</w:t>
      </w:r>
    </w:p>
    <w:p>
      <w:pPr>
        <w:pStyle w:val="FirstParagraph"/>
      </w:pPr>
      <w:r>
        <w:t xml:space="preserve">FedRAMP 20x requires machine-accessible privacy notices for the CSOs it</w:t>
      </w:r>
      <w:r>
        <w:t xml:space="preserve"> </w:t>
      </w:r>
      <w:r>
        <w:t xml:space="preserve">authorizes; this series adopts the same standard for the agency package — a</w:t>
      </w:r>
      <w:r>
        <w:t xml:space="preserve"> </w:t>
      </w:r>
      <w:r>
        <w:t xml:space="preserve">stable, publicly reachable URL that independent assessors can validate without</w:t>
      </w:r>
      <w:r>
        <w:t xml:space="preserve"> </w:t>
      </w:r>
      <w:r>
        <w:t xml:space="preserve">manual intervention. The SSP must include:</w:t>
      </w:r>
    </w:p>
    <w:p>
      <w:pPr>
        <w:pStyle w:val="BlockText"/>
      </w:pPr>
      <w:r>
        <w:t xml:space="preserve">[FILLABLE]</w:t>
      </w:r>
      <w:r>
        <w:t xml:space="preserve"> </w:t>
      </w:r>
      <w:r>
        <w:rPr>
          <w:b/>
          <w:bCs/>
        </w:rPr>
        <w:t xml:space="preserve">Privacy Notice URL:</w:t>
      </w:r>
      <w:r>
        <w:t xml:space="preserve"> </w:t>
      </w:r>
      <w:r>
        <w:rPr>
          <w:rStyle w:val="VerbatimChar"/>
        </w:rPr>
        <w:t xml:space="preserve">https://[AGENCY-DOMAIN]/[SYSTEM-PATH]/privacy</w:t>
      </w:r>
    </w:p>
    <w:p>
      <w:pPr>
        <w:pStyle w:val="BlockText"/>
      </w:pPr>
      <w:r>
        <w:t xml:space="preserve">This URL must return a valid HTTP 200 response and contain the OMB-required</w:t>
      </w:r>
      <w:r>
        <w:t xml:space="preserve"> </w:t>
      </w:r>
      <w:r>
        <w:t xml:space="preserve">notice elements. The URL must be recorded in the SSP System Description</w:t>
      </w:r>
      <w:r>
        <w:t xml:space="preserve"> </w:t>
      </w:r>
      <w:r>
        <w:t xml:space="preserve">section under</w:t>
      </w:r>
      <w:r>
        <w:t xml:space="preserve"> </w:t>
      </w:r>
      <w:r>
        <w:t xml:space="preserve">“Privacy Posture.”</w:t>
      </w:r>
      <w:r>
        <w:t xml:space="preserve"> </w:t>
      </w:r>
      <w:r>
        <w:t xml:space="preserve">Verify URL availability as part of each</w:t>
      </w:r>
      <w:r>
        <w:t xml:space="preserve"> </w:t>
      </w:r>
      <w:r>
        <w:t xml:space="preserve">annual privacy assessment.</w:t>
      </w:r>
    </w:p>
    <w:p>
      <w:r>
        <w:pict>
          <v:rect style="width:0;height:1.5pt" o:hralign="center" o:hrstd="t" o:hr="t"/>
        </w:pict>
      </w:r>
    </w:p>
    <w:bookmarkEnd w:id="35"/>
    <w:bookmarkEnd w:id="36"/>
    <w:bookmarkStart w:id="43" w:name="specific-categories-of-pii-pt-7"/>
    <w:p>
      <w:pPr>
        <w:pStyle w:val="Heading1"/>
      </w:pPr>
      <w:r>
        <w:t xml:space="preserve">7. Specific Categories of PII (PT-7)</w:t>
      </w:r>
    </w:p>
    <w:bookmarkStart w:id="37" w:name="control-requirement-5"/>
    <w:p>
      <w:pPr>
        <w:pStyle w:val="Heading2"/>
      </w:pPr>
      <w:r>
        <w:t xml:space="preserve">7.1 Control Requirement</w:t>
      </w:r>
    </w:p>
    <w:p>
      <w:pPr>
        <w:pStyle w:val="FirstParagraph"/>
      </w:pPr>
      <w:r>
        <w:t xml:space="preserve">PT-7 requires the organization to apply heightened privacy protections to</w:t>
      </w:r>
      <w:r>
        <w:t xml:space="preserve"> </w:t>
      </w:r>
      <w:r>
        <w:t xml:space="preserve">special categories of PII in accordance with applicable laws, Executive Orders,</w:t>
      </w:r>
      <w:r>
        <w:t xml:space="preserve"> </w:t>
      </w:r>
      <w:r>
        <w:t xml:space="preserve">directives, regulations, policies, standards, and guidelines. Special categories</w:t>
      </w:r>
      <w:r>
        <w:t xml:space="preserve"> </w:t>
      </w:r>
      <w:r>
        <w:t xml:space="preserve">require controls beyond those applied to general PII.</w:t>
      </w:r>
    </w:p>
    <w:bookmarkEnd w:id="37"/>
    <w:bookmarkStart w:id="38" w:name="Xeab07a0f12c04734c1857838b2562a5991fc978"/>
    <w:p>
      <w:pPr>
        <w:pStyle w:val="Heading2"/>
      </w:pPr>
      <w:r>
        <w:t xml:space="preserve">7.2 Special Categories Applicable to Agency Systems</w:t>
      </w:r>
    </w:p>
    <w:tbl>
      <w:tblPr>
        <w:tblStyle w:val="Table"/>
        <w:tblW w:type="pct" w:w="5000"/>
        <w:tblLayout w:type="fixed"/>
        <w:tblLook w:firstRow="1" w:lastRow="0" w:firstColumn="0" w:lastColumn="0" w:noHBand="0" w:noVBand="0" w:val="0020"/>
      </w:tblPr>
      <w:tblGrid>
        <w:gridCol w:w="1492"/>
        <w:gridCol w:w="2180"/>
        <w:gridCol w:w="4246"/>
      </w:tblGrid>
      <w:tr>
        <w:trPr>
          <w:tblHeader w:val="on"/>
        </w:trPr>
        <w:tc>
          <w:tcPr/>
          <w:p>
            <w:pPr>
              <w:pStyle w:val="Compact"/>
            </w:pPr>
            <w:r>
              <w:t xml:space="preserve">PII Category</w:t>
            </w:r>
          </w:p>
        </w:tc>
        <w:tc>
          <w:tcPr/>
          <w:p>
            <w:pPr>
              <w:pStyle w:val="Compact"/>
            </w:pPr>
            <w:r>
              <w:t xml:space="preserve">Special Category?</w:t>
            </w:r>
          </w:p>
        </w:tc>
        <w:tc>
          <w:tcPr/>
          <w:p>
            <w:pPr>
              <w:pStyle w:val="Compact"/>
            </w:pPr>
            <w:r>
              <w:t xml:space="preserve">Authority for Heightened Protection</w:t>
            </w:r>
          </w:p>
        </w:tc>
      </w:tr>
      <w:tr>
        <w:tc>
          <w:tcPr/>
          <w:p>
            <w:pPr>
              <w:pStyle w:val="Compact"/>
            </w:pPr>
            <w:r>
              <w:t xml:space="preserve">Social Security Number (SSN)</w:t>
            </w:r>
          </w:p>
        </w:tc>
        <w:tc>
          <w:tcPr/>
          <w:p>
            <w:pPr>
              <w:pStyle w:val="Compact"/>
            </w:pPr>
            <w:r>
              <w:t xml:space="preserve">Yes</w:t>
            </w:r>
          </w:p>
        </w:tc>
        <w:tc>
          <w:tcPr/>
          <w:p>
            <w:pPr>
              <w:pStyle w:val="Compact"/>
            </w:pPr>
            <w:r>
              <w:t xml:space="preserve">OMB M-17-12; SSN limitation laws</w:t>
            </w:r>
          </w:p>
        </w:tc>
      </w:tr>
      <w:tr>
        <w:tc>
          <w:tcPr/>
          <w:p>
            <w:pPr>
              <w:pStyle w:val="Compact"/>
            </w:pPr>
            <w:r>
              <w:t xml:space="preserve">Financial account numbers</w:t>
            </w:r>
          </w:p>
        </w:tc>
        <w:tc>
          <w:tcPr/>
          <w:p>
            <w:pPr>
              <w:pStyle w:val="Compact"/>
            </w:pPr>
            <w:r>
              <w:t xml:space="preserve">Yes</w:t>
            </w:r>
          </w:p>
        </w:tc>
        <w:tc>
          <w:tcPr/>
          <w:p>
            <w:pPr>
              <w:pStyle w:val="Compact"/>
            </w:pPr>
            <w:r>
              <w:t xml:space="preserve">Gramm-Leach-Bliley Act; OMB M-17-12</w:t>
            </w:r>
          </w:p>
        </w:tc>
      </w:tr>
      <w:tr>
        <w:tc>
          <w:tcPr/>
          <w:p>
            <w:pPr>
              <w:pStyle w:val="Compact"/>
            </w:pPr>
            <w:r>
              <w:t xml:space="preserve">Medical / health records (PHI)</w:t>
            </w:r>
          </w:p>
        </w:tc>
        <w:tc>
          <w:tcPr/>
          <w:p>
            <w:pPr>
              <w:pStyle w:val="Compact"/>
            </w:pPr>
            <w:r>
              <w:t xml:space="preserve">Yes</w:t>
            </w:r>
          </w:p>
        </w:tc>
        <w:tc>
          <w:tcPr/>
          <w:p>
            <w:pPr>
              <w:pStyle w:val="Compact"/>
            </w:pPr>
            <w:r>
              <w:t xml:space="preserve">HIPAA Privacy Rule (45 C.F.R. §164); Agency Act §1106</w:t>
            </w:r>
          </w:p>
        </w:tc>
      </w:tr>
      <w:tr>
        <w:tc>
          <w:tcPr/>
          <w:p>
            <w:pPr>
              <w:pStyle w:val="Compact"/>
            </w:pPr>
            <w:r>
              <w:t xml:space="preserve">Biometric data</w:t>
            </w:r>
          </w:p>
        </w:tc>
        <w:tc>
          <w:tcPr/>
          <w:p>
            <w:pPr>
              <w:pStyle w:val="Compact"/>
            </w:pPr>
            <w:r>
              <w:t xml:space="preserve">Yes</w:t>
            </w:r>
          </w:p>
        </w:tc>
        <w:tc>
          <w:tcPr/>
          <w:p>
            <w:pPr>
              <w:pStyle w:val="Compact"/>
            </w:pPr>
            <w:r>
              <w:t xml:space="preserve">OMB M-22-10; agency biometric policy</w:t>
            </w:r>
          </w:p>
        </w:tc>
      </w:tr>
      <w:tr>
        <w:tc>
          <w:tcPr/>
          <w:p>
            <w:pPr>
              <w:pStyle w:val="Compact"/>
            </w:pPr>
            <w:r>
              <w:t xml:space="preserve">Geolocation data (precise)</w:t>
            </w:r>
          </w:p>
        </w:tc>
        <w:tc>
          <w:tcPr/>
          <w:p>
            <w:pPr>
              <w:pStyle w:val="Compact"/>
            </w:pPr>
            <w:r>
              <w:t xml:space="preserve">Yes</w:t>
            </w:r>
          </w:p>
        </w:tc>
        <w:tc>
          <w:tcPr/>
          <w:p>
            <w:pPr>
              <w:pStyle w:val="Compact"/>
            </w:pPr>
            <w:r>
              <w:t xml:space="preserve">OMB M-14-06; Fourth Amendment implications</w:t>
            </w:r>
          </w:p>
        </w:tc>
      </w:tr>
      <w:tr>
        <w:tc>
          <w:tcPr/>
          <w:p>
            <w:pPr>
              <w:pStyle w:val="Compact"/>
            </w:pPr>
            <w:r>
              <w:t xml:space="preserve">Citizenship / immigration status</w:t>
            </w:r>
          </w:p>
        </w:tc>
        <w:tc>
          <w:tcPr/>
          <w:p>
            <w:pPr>
              <w:pStyle w:val="Compact"/>
            </w:pPr>
            <w:r>
              <w:t xml:space="preserve">Yes</w:t>
            </w:r>
          </w:p>
        </w:tc>
        <w:tc>
          <w:tcPr/>
          <w:p>
            <w:pPr>
              <w:pStyle w:val="Compact"/>
            </w:pPr>
            <w:r>
              <w:t xml:space="preserve">OMB guidance; agency policy; heightened sensitivity</w:t>
            </w:r>
          </w:p>
        </w:tc>
      </w:tr>
      <w:tr>
        <w:tc>
          <w:tcPr/>
          <w:p>
            <w:pPr>
              <w:pStyle w:val="Compact"/>
            </w:pPr>
            <w:r>
              <w:t xml:space="preserve">Mental health records</w:t>
            </w:r>
          </w:p>
        </w:tc>
        <w:tc>
          <w:tcPr/>
          <w:p>
            <w:pPr>
              <w:pStyle w:val="Compact"/>
            </w:pPr>
            <w:r>
              <w:t xml:space="preserve">Yes</w:t>
            </w:r>
          </w:p>
        </w:tc>
        <w:tc>
          <w:tcPr/>
          <w:p>
            <w:pPr>
              <w:pStyle w:val="Compact"/>
            </w:pPr>
            <w:r>
              <w:t xml:space="preserve">HIPAA; 42 C.F.R. Part 2 (substance use records)</w:t>
            </w:r>
          </w:p>
        </w:tc>
      </w:tr>
      <w:tr>
        <w:tc>
          <w:tcPr/>
          <w:p>
            <w:pPr>
              <w:pStyle w:val="Compact"/>
            </w:pPr>
            <w:r>
              <w:t xml:space="preserve">Genetic information</w:t>
            </w:r>
          </w:p>
        </w:tc>
        <w:tc>
          <w:tcPr/>
          <w:p>
            <w:pPr>
              <w:pStyle w:val="Compact"/>
            </w:pPr>
            <w:r>
              <w:t xml:space="preserve">Yes</w:t>
            </w:r>
          </w:p>
        </w:tc>
        <w:tc>
          <w:tcPr/>
          <w:p>
            <w:pPr>
              <w:pStyle w:val="Compact"/>
            </w:pPr>
            <w:r>
              <w:t xml:space="preserve">GINA (42 U.S.C. §2000ff et seq.); HIPAA</w:t>
            </w:r>
          </w:p>
        </w:tc>
      </w:tr>
    </w:tbl>
    <w:bookmarkEnd w:id="38"/>
    <w:bookmarkStart w:id="39" w:name="special-category-control-matrix"/>
    <w:p>
      <w:pPr>
        <w:pStyle w:val="Heading2"/>
      </w:pPr>
      <w:r>
        <w:t xml:space="preserve">7.3 Special Category Control Matrix</w:t>
      </w:r>
    </w:p>
    <w:p>
      <w:pPr>
        <w:pStyle w:val="BlockText"/>
      </w:pPr>
      <w:r>
        <w:t xml:space="preserve">[FILLABLE] For each special category processed by the system, document the</w:t>
      </w:r>
      <w:r>
        <w:t xml:space="preserve"> </w:t>
      </w:r>
      <w:r>
        <w:t xml:space="preserve">Purview sensitivity label (from Vol III Book 05), encryption requirement, access</w:t>
      </w:r>
      <w:r>
        <w:t xml:space="preserve"> </w:t>
      </w:r>
      <w:r>
        <w:t xml:space="preserve">control tier, and audit logging posture.</w:t>
      </w:r>
    </w:p>
    <w:tbl>
      <w:tblPr>
        <w:tblStyle w:val="Table"/>
        <w:tblW w:type="pct" w:w="5000"/>
        <w:tblLayout w:type="fixed"/>
        <w:tblLook w:firstRow="1" w:lastRow="0" w:firstColumn="0" w:lastColumn="0" w:noHBand="0" w:noVBand="0" w:val="0020"/>
      </w:tblPr>
      <w:tblGrid>
        <w:gridCol w:w="1119"/>
        <w:gridCol w:w="2238"/>
        <w:gridCol w:w="1893"/>
        <w:gridCol w:w="1377"/>
        <w:gridCol w:w="1291"/>
      </w:tblGrid>
      <w:tr>
        <w:trPr>
          <w:tblHeader w:val="on"/>
        </w:trPr>
        <w:tc>
          <w:tcPr/>
          <w:p>
            <w:pPr>
              <w:pStyle w:val="Compact"/>
            </w:pPr>
            <w:r>
              <w:t xml:space="preserve">PII Category</w:t>
            </w:r>
          </w:p>
        </w:tc>
        <w:tc>
          <w:tcPr/>
          <w:p>
            <w:pPr>
              <w:pStyle w:val="Compact"/>
            </w:pPr>
            <w:r>
              <w:t xml:space="preserve">Purview Sensitivity Label</w:t>
            </w:r>
          </w:p>
        </w:tc>
        <w:tc>
          <w:tcPr/>
          <w:p>
            <w:pPr>
              <w:pStyle w:val="Compact"/>
            </w:pPr>
            <w:r>
              <w:t xml:space="preserve">Encryption Requirement</w:t>
            </w:r>
          </w:p>
        </w:tc>
        <w:tc>
          <w:tcPr/>
          <w:p>
            <w:pPr>
              <w:pStyle w:val="Compact"/>
            </w:pPr>
            <w:r>
              <w:t xml:space="preserve">Access Control</w:t>
            </w:r>
          </w:p>
        </w:tc>
        <w:tc>
          <w:tcPr/>
          <w:p>
            <w:pPr>
              <w:pStyle w:val="Compact"/>
            </w:pPr>
            <w:r>
              <w:t xml:space="preserve">Audit Logging</w:t>
            </w:r>
          </w:p>
        </w:tc>
      </w:tr>
      <w:tr>
        <w:tc>
          <w:tcPr/>
          <w:p>
            <w:pPr>
              <w:pStyle w:val="Compact"/>
            </w:pPr>
            <w:r>
              <w:t xml:space="preserve">SSN (full)</w:t>
            </w:r>
          </w:p>
        </w:tc>
        <w:tc>
          <w:tcPr/>
          <w:p>
            <w:pPr>
              <w:pStyle w:val="Compact"/>
            </w:pPr>
            <w:r>
              <w:rPr>
                <w:rStyle w:val="VerbatimChar"/>
              </w:rPr>
              <w:t xml:space="preserve">Restricted-SSN</w:t>
            </w:r>
          </w:p>
        </w:tc>
        <w:tc>
          <w:tcPr/>
          <w:p>
            <w:pPr>
              <w:pStyle w:val="Compact"/>
            </w:pPr>
            <w:r>
              <w:t xml:space="preserve">AES-256 at rest; TLS 1.3 in transit; CMK-managed (Vol III Book 05 §4)</w:t>
            </w:r>
          </w:p>
        </w:tc>
        <w:tc>
          <w:tcPr/>
          <w:p>
            <w:pPr>
              <w:pStyle w:val="Compact"/>
            </w:pPr>
            <w:r>
              <w:t xml:space="preserve">Role-based; least privilege; MFA required; no service account access</w:t>
            </w:r>
          </w:p>
        </w:tc>
        <w:tc>
          <w:tcPr/>
          <w:p>
            <w:pPr>
              <w:pStyle w:val="Compact"/>
            </w:pPr>
            <w:r>
              <w:t xml:space="preserve">All reads and writes logged to Sentinel; 7-year retention</w:t>
            </w:r>
          </w:p>
        </w:tc>
      </w:tr>
      <w:tr>
        <w:tc>
          <w:tcPr/>
          <w:p>
            <w:pPr>
              <w:pStyle w:val="Compact"/>
            </w:pPr>
            <w:r>
              <w:t xml:space="preserve">SSN (masked — last 4)</w:t>
            </w:r>
          </w:p>
        </w:tc>
        <w:tc>
          <w:tcPr/>
          <w:p>
            <w:pPr>
              <w:pStyle w:val="Compact"/>
            </w:pPr>
            <w:r>
              <w:rPr>
                <w:rStyle w:val="VerbatimChar"/>
              </w:rPr>
              <w:t xml:space="preserve">Confidential-PII</w:t>
            </w:r>
          </w:p>
        </w:tc>
        <w:tc>
          <w:tcPr/>
          <w:p>
            <w:pPr>
              <w:pStyle w:val="Compact"/>
            </w:pPr>
            <w:r>
              <w:t xml:space="preserve">Standard GCC Moderate encryption</w:t>
            </w:r>
          </w:p>
        </w:tc>
        <w:tc>
          <w:tcPr/>
          <w:p>
            <w:pPr>
              <w:pStyle w:val="Compact"/>
            </w:pPr>
            <w:r>
              <w:t xml:space="preserve">Standard role-based</w:t>
            </w:r>
          </w:p>
        </w:tc>
        <w:tc>
          <w:tcPr/>
          <w:p>
            <w:pPr>
              <w:pStyle w:val="Compact"/>
            </w:pPr>
            <w:r>
              <w:t xml:space="preserve">Standard audit log</w:t>
            </w:r>
          </w:p>
        </w:tc>
      </w:tr>
      <w:tr>
        <w:tc>
          <w:tcPr/>
          <w:p>
            <w:pPr>
              <w:pStyle w:val="Compact"/>
            </w:pPr>
            <w:r>
              <w:t xml:space="preserve">Financial account numbers</w:t>
            </w:r>
          </w:p>
        </w:tc>
        <w:tc>
          <w:tcPr/>
          <w:p>
            <w:pPr>
              <w:pStyle w:val="Compact"/>
            </w:pPr>
            <w:r>
              <w:rPr>
                <w:rStyle w:val="VerbatimChar"/>
              </w:rPr>
              <w:t xml:space="preserve">Restricted-Financial</w:t>
            </w:r>
          </w:p>
        </w:tc>
        <w:tc>
          <w:tcPr/>
          <w:p>
            <w:pPr>
              <w:pStyle w:val="Compact"/>
            </w:pPr>
            <w:r>
              <w:t xml:space="preserve">AES-256 at rest; CMK-managed; never logged in plain text</w:t>
            </w:r>
          </w:p>
        </w:tc>
        <w:tc>
          <w:tcPr/>
          <w:p>
            <w:pPr>
              <w:pStyle w:val="Compact"/>
            </w:pPr>
            <w:r>
              <w:t xml:space="preserve">Payment processing roles only; dual-approval for changes</w:t>
            </w:r>
          </w:p>
        </w:tc>
        <w:tc>
          <w:tcPr/>
          <w:p>
            <w:pPr>
              <w:pStyle w:val="Compact"/>
            </w:pPr>
            <w:r>
              <w:t xml:space="preserve">All access logged; anomaly alert threshold: [N] accesses per day</w:t>
            </w:r>
          </w:p>
        </w:tc>
      </w:tr>
      <w:tr>
        <w:tc>
          <w:tcPr/>
          <w:p>
            <w:pPr>
              <w:pStyle w:val="Compact"/>
            </w:pPr>
            <w:r>
              <w:t xml:space="preserve">Medical / PHI records</w:t>
            </w:r>
          </w:p>
        </w:tc>
        <w:tc>
          <w:tcPr/>
          <w:p>
            <w:pPr>
              <w:pStyle w:val="Compact"/>
            </w:pPr>
            <w:r>
              <w:rPr>
                <w:rStyle w:val="VerbatimChar"/>
              </w:rPr>
              <w:t xml:space="preserve">Restricted-PHI</w:t>
            </w:r>
          </w:p>
        </w:tc>
        <w:tc>
          <w:tcPr/>
          <w:p>
            <w:pPr>
              <w:pStyle w:val="Compact"/>
            </w:pPr>
            <w:r>
              <w:t xml:space="preserve">AES-256 at rest; CMK-managed; column-level encryption for PHI fields</w:t>
            </w:r>
          </w:p>
        </w:tc>
        <w:tc>
          <w:tcPr/>
          <w:p>
            <w:pPr>
              <w:pStyle w:val="Compact"/>
            </w:pPr>
            <w:r>
              <w:t xml:space="preserve">Medical review roles only; adjudicators scoped to assigned cases</w:t>
            </w:r>
          </w:p>
        </w:tc>
        <w:tc>
          <w:tcPr/>
          <w:p>
            <w:pPr>
              <w:pStyle w:val="Compact"/>
            </w:pPr>
            <w:r>
              <w:t xml:space="preserve">All PHI access logged; HIPAA-compliant audit trail; 6-year retention</w:t>
            </w:r>
          </w:p>
        </w:tc>
      </w:tr>
      <w:tr>
        <w:tc>
          <w:tcPr/>
          <w:p>
            <w:pPr>
              <w:pStyle w:val="Compact"/>
            </w:pPr>
            <w:r>
              <w:t xml:space="preserve">Biometric data</w:t>
            </w:r>
          </w:p>
        </w:tc>
        <w:tc>
          <w:tcPr/>
          <w:p>
            <w:pPr>
              <w:pStyle w:val="Compact"/>
            </w:pPr>
            <w:r>
              <w:rPr>
                <w:rStyle w:val="VerbatimChar"/>
              </w:rPr>
              <w:t xml:space="preserve">Restricted-Biometric</w:t>
            </w:r>
          </w:p>
        </w:tc>
        <w:tc>
          <w:tcPr/>
          <w:p>
            <w:pPr>
              <w:pStyle w:val="Compact"/>
            </w:pPr>
            <w:r>
              <w:t xml:space="preserve">AES-256 at rest; at-rest encryption separate from application encryption</w:t>
            </w:r>
          </w:p>
        </w:tc>
        <w:tc>
          <w:tcPr/>
          <w:p>
            <w:pPr>
              <w:pStyle w:val="Compact"/>
            </w:pPr>
            <w:r>
              <w:t xml:space="preserve">Biometric system service account only; no human read access to raw data</w:t>
            </w:r>
          </w:p>
        </w:tc>
        <w:tc>
          <w:tcPr/>
          <w:p>
            <w:pPr>
              <w:pStyle w:val="Compact"/>
            </w:pPr>
            <w:r>
              <w:t xml:space="preserve">All access logged; alert on any human read of raw biometric</w:t>
            </w:r>
          </w:p>
        </w:tc>
      </w:tr>
      <w:tr>
        <w:tc>
          <w:tcPr/>
          <w:p>
            <w:pPr>
              <w:pStyle w:val="Compact"/>
            </w:pPr>
            <w:r>
              <w:t xml:space="preserve">Geolocation (if collected)</w:t>
            </w:r>
          </w:p>
        </w:tc>
        <w:tc>
          <w:tcPr/>
          <w:p>
            <w:pPr>
              <w:pStyle w:val="Compact"/>
            </w:pPr>
            <w:r>
              <w:rPr>
                <w:rStyle w:val="VerbatimChar"/>
              </w:rPr>
              <w:t xml:space="preserve">Confidential-PII</w:t>
            </w:r>
          </w:p>
        </w:tc>
        <w:tc>
          <w:tcPr/>
          <w:p>
            <w:pPr>
              <w:pStyle w:val="Compact"/>
            </w:pPr>
            <w:r>
              <w:t xml:space="preserve">Standard GCC Moderate</w:t>
            </w:r>
          </w:p>
        </w:tc>
        <w:tc>
          <w:tcPr/>
          <w:p>
            <w:pPr>
              <w:pStyle w:val="Compact"/>
            </w:pPr>
            <w:r>
              <w:t xml:space="preserve">Limited to fraud analytics roles</w:t>
            </w:r>
          </w:p>
        </w:tc>
        <w:tc>
          <w:tcPr/>
          <w:p>
            <w:pPr>
              <w:pStyle w:val="Compact"/>
            </w:pPr>
            <w:r>
              <w:t xml:space="preserve">All reads logged</w:t>
            </w:r>
          </w:p>
        </w:tc>
      </w:tr>
      <w:tr>
        <w:tc>
          <w:tcPr/>
          <w:p>
            <w:pPr>
              <w:pStyle w:val="Compact"/>
            </w:pPr>
            <w:r>
              <w:t xml:space="preserve">Citizenship / immigration status</w:t>
            </w:r>
          </w:p>
        </w:tc>
        <w:tc>
          <w:tcPr/>
          <w:p>
            <w:pPr>
              <w:pStyle w:val="Compact"/>
            </w:pPr>
            <w:r>
              <w:rPr>
                <w:rStyle w:val="VerbatimChar"/>
              </w:rPr>
              <w:t xml:space="preserve">Restricted-Sensitive</w:t>
            </w:r>
          </w:p>
        </w:tc>
        <w:tc>
          <w:tcPr/>
          <w:p>
            <w:pPr>
              <w:pStyle w:val="Compact"/>
            </w:pPr>
            <w:r>
              <w:t xml:space="preserve">AES-256 at rest; CMK-managed</w:t>
            </w:r>
          </w:p>
        </w:tc>
        <w:tc>
          <w:tcPr/>
          <w:p>
            <w:pPr>
              <w:pStyle w:val="Compact"/>
            </w:pPr>
            <w:r>
              <w:t xml:space="preserve">Need-to-know; no bulk export; legal review for sharing</w:t>
            </w:r>
          </w:p>
        </w:tc>
        <w:tc>
          <w:tcPr/>
          <w:p>
            <w:pPr>
              <w:pStyle w:val="Compact"/>
            </w:pPr>
            <w:r>
              <w:t xml:space="preserve">All access logged; alert on bulk export</w:t>
            </w:r>
          </w:p>
        </w:tc>
      </w:tr>
    </w:tbl>
    <w:bookmarkEnd w:id="39"/>
    <w:bookmarkStart w:id="40" w:name="phi-subset-hipaa-applicability"/>
    <w:p>
      <w:pPr>
        <w:pStyle w:val="Heading2"/>
      </w:pPr>
      <w:r>
        <w:t xml:space="preserve">7.4 PHI Subset — HIPAA Applicability</w:t>
      </w:r>
    </w:p>
    <w:p>
      <w:pPr>
        <w:pStyle w:val="FirstParagraph"/>
      </w:pPr>
      <w:r>
        <w:t xml:space="preserve">Agency systems that process health information in connection with Medicare Part B</w:t>
      </w:r>
      <w:r>
        <w:t xml:space="preserve"> </w:t>
      </w:r>
      <w:r>
        <w:t xml:space="preserve">coordination (CMS data exchanges), disability determination (medical records),</w:t>
      </w:r>
      <w:r>
        <w:t xml:space="preserve"> </w:t>
      </w:r>
      <w:r>
        <w:t xml:space="preserve">or employee health programs are subject to HIPAA where Agency acts as a covered</w:t>
      </w:r>
      <w:r>
        <w:t xml:space="preserve"> </w:t>
      </w:r>
      <w:r>
        <w:t xml:space="preserve">entity or business associate.</w:t>
      </w:r>
    </w:p>
    <w:p>
      <w:pPr>
        <w:pStyle w:val="BodyText"/>
      </w:pPr>
      <w:r>
        <w:rPr>
          <w:b/>
          <w:bCs/>
        </w:rPr>
        <w:t xml:space="preserve">HIPAA Applicability Determination:</w:t>
      </w:r>
    </w:p>
    <w:p>
      <w:pPr>
        <w:pStyle w:val="BlockText"/>
      </w:pPr>
      <w:r>
        <w:t xml:space="preserve">[FILLABLE] Complete a HIPAA applicability determination for each data flow</w:t>
      </w:r>
      <w:r>
        <w:t xml:space="preserve"> </w:t>
      </w:r>
      <w:r>
        <w:t xml:space="preserve">involving health information. Document in the data flow map (§8) whether</w:t>
      </w:r>
      <w:r>
        <w:t xml:space="preserve"> </w:t>
      </w:r>
      <w:r>
        <w:t xml:space="preserve">Agency is acting as a covered entity, business associate, or neither for each</w:t>
      </w:r>
      <w:r>
        <w:t xml:space="preserve"> </w:t>
      </w:r>
      <w:r>
        <w:t xml:space="preserve">flow. If HIPAA applies, the Business Associate Agreement (BAA) with [CSP /</w:t>
      </w:r>
      <w:r>
        <w:t xml:space="preserve"> </w:t>
      </w:r>
      <w:r>
        <w:t xml:space="preserve">AZURE] must be on file. Reference Vol III Book 05 §5 for the Azure BAA status under</w:t>
      </w:r>
      <w:r>
        <w:t xml:space="preserve"> </w:t>
      </w:r>
      <w:r>
        <w:t xml:space="preserve">the GCC Moderate agreement.</w:t>
      </w:r>
    </w:p>
    <w:bookmarkEnd w:id="40"/>
    <w:bookmarkStart w:id="41" w:name="ssn-handling-omb-m-17-12-requirements"/>
    <w:p>
      <w:pPr>
        <w:pStyle w:val="Heading2"/>
      </w:pPr>
      <w:r>
        <w:t xml:space="preserve">7.5 SSN Handling — OMB M-17-12 Requirements</w:t>
      </w:r>
    </w:p>
    <w:p>
      <w:pPr>
        <w:pStyle w:val="FirstParagraph"/>
      </w:pPr>
      <w:r>
        <w:t xml:space="preserve">OMB Memorandum M-17-12 imposes specific requirements on SSN use and exposure:</w:t>
      </w:r>
    </w:p>
    <w:p>
      <w:pPr>
        <w:pStyle w:val="Compact"/>
        <w:numPr>
          <w:ilvl w:val="0"/>
          <w:numId w:val="1015"/>
        </w:numPr>
      </w:pPr>
      <w:r>
        <w:rPr>
          <w:b/>
          <w:bCs/>
        </w:rPr>
        <w:t xml:space="preserve">SSN as Identifier:</w:t>
      </w:r>
      <w:r>
        <w:t xml:space="preserve"> </w:t>
      </w:r>
      <w:r>
        <w:t xml:space="preserve">Agencies must eliminate unnecessary use of SSN as a</w:t>
      </w:r>
      <w:r>
        <w:t xml:space="preserve"> </w:t>
      </w:r>
      <w:r>
        <w:t xml:space="preserve">system identifier where an alternative identifier is available</w:t>
      </w:r>
    </w:p>
    <w:p>
      <w:pPr>
        <w:pStyle w:val="Compact"/>
        <w:numPr>
          <w:ilvl w:val="0"/>
          <w:numId w:val="1015"/>
        </w:numPr>
      </w:pPr>
      <w:r>
        <w:rPr>
          <w:b/>
          <w:bCs/>
        </w:rPr>
        <w:t xml:space="preserve">Truncation Policy:</w:t>
      </w:r>
      <w:r>
        <w:t xml:space="preserve"> </w:t>
      </w:r>
      <w:r>
        <w:t xml:space="preserve">When SSNs must be displayed, display only the last</w:t>
      </w:r>
      <w:r>
        <w:t xml:space="preserve"> </w:t>
      </w:r>
      <w:r>
        <w:t xml:space="preserve">four digits (XXX-XX-1234) except where full SSN is operationally required</w:t>
      </w:r>
    </w:p>
    <w:p>
      <w:pPr>
        <w:pStyle w:val="Compact"/>
        <w:numPr>
          <w:ilvl w:val="0"/>
          <w:numId w:val="1015"/>
        </w:numPr>
      </w:pPr>
      <w:r>
        <w:rPr>
          <w:b/>
          <w:bCs/>
        </w:rPr>
        <w:t xml:space="preserve">Collection Minimization:</w:t>
      </w:r>
      <w:r>
        <w:t xml:space="preserve"> </w:t>
      </w:r>
      <w:r>
        <w:t xml:space="preserve">Do not collect SSN if the statutory authority</w:t>
      </w:r>
      <w:r>
        <w:t xml:space="preserve"> </w:t>
      </w:r>
      <w:r>
        <w:t xml:space="preserve">does not require it; document in PT-2 the specific authority for each</w:t>
      </w:r>
      <w:r>
        <w:t xml:space="preserve"> </w:t>
      </w:r>
      <w:r>
        <w:t xml:space="preserve">collection point</w:t>
      </w:r>
    </w:p>
    <w:p>
      <w:pPr>
        <w:pStyle w:val="Compact"/>
        <w:numPr>
          <w:ilvl w:val="0"/>
          <w:numId w:val="1015"/>
        </w:numPr>
      </w:pPr>
      <w:r>
        <w:rPr>
          <w:b/>
          <w:bCs/>
        </w:rPr>
        <w:t xml:space="preserve">Breach Response:</w:t>
      </w:r>
      <w:r>
        <w:t xml:space="preserve"> </w:t>
      </w:r>
      <w:r>
        <w:t xml:space="preserve">SSN exposure triggers OMB M-17-12 breach notification</w:t>
      </w:r>
      <w:r>
        <w:t xml:space="preserve"> </w:t>
      </w:r>
      <w:r>
        <w:t xml:space="preserve">procedures; see the Breach Response SOP (reference Vol IV Book 03 §5 for incident</w:t>
      </w:r>
      <w:r>
        <w:t xml:space="preserve"> </w:t>
      </w:r>
      <w:r>
        <w:t xml:space="preserve">management framework)</w:t>
      </w:r>
    </w:p>
    <w:p>
      <w:pPr>
        <w:pStyle w:val="FirstParagraph"/>
      </w:pPr>
      <w:r>
        <w:rPr>
          <w:b/>
          <w:bCs/>
        </w:rPr>
        <w:t xml:space="preserve">SSN Masking Policy for [SYSTEM NAME]:</w:t>
      </w:r>
    </w:p>
    <w:p>
      <w:pPr>
        <w:pStyle w:val="BlockText"/>
      </w:pPr>
      <w:r>
        <w:t xml:space="preserve">[FILLABLE] Document where in the system SSNs are displayed and confirm</w:t>
      </w:r>
      <w:r>
        <w:t xml:space="preserve"> </w:t>
      </w:r>
      <w:r>
        <w:t xml:space="preserve">that each display point uses masked format. Example:</w:t>
      </w:r>
    </w:p>
    <w:tbl>
      <w:tblPr>
        <w:tblStyle w:val="Table"/>
        <w:tblW w:type="pct" w:w="5000"/>
        <w:tblLayout w:type="fixed"/>
        <w:tblLook w:firstRow="1" w:lastRow="0" w:firstColumn="0" w:lastColumn="0" w:noHBand="0" w:noVBand="0" w:val="0020"/>
      </w:tblPr>
      <w:tblGrid>
        <w:gridCol w:w="2040"/>
        <w:gridCol w:w="1560"/>
        <w:gridCol w:w="2520"/>
        <w:gridCol w:w="1800"/>
      </w:tblGrid>
      <w:tr>
        <w:trPr>
          <w:tblHeader w:val="on"/>
        </w:trPr>
        <w:tc>
          <w:tcPr/>
          <w:p>
            <w:pPr>
              <w:pStyle w:val="Compact"/>
            </w:pPr>
            <w:r>
              <w:t xml:space="preserve">Display Location</w:t>
            </w:r>
          </w:p>
        </w:tc>
        <w:tc>
          <w:tcPr/>
          <w:p>
            <w:pPr>
              <w:pStyle w:val="Compact"/>
            </w:pPr>
            <w:r>
              <w:t xml:space="preserve">Format Used</w:t>
            </w:r>
          </w:p>
        </w:tc>
        <w:tc>
          <w:tcPr/>
          <w:p>
            <w:pPr>
              <w:pStyle w:val="Compact"/>
            </w:pPr>
            <w:r>
              <w:t xml:space="preserve">Full SSN Accessible?</w:t>
            </w:r>
          </w:p>
        </w:tc>
        <w:tc>
          <w:tcPr/>
          <w:p>
            <w:pPr>
              <w:pStyle w:val="Compact"/>
            </w:pPr>
            <w:r>
              <w:t xml:space="preserve">Justification</w:t>
            </w:r>
          </w:p>
        </w:tc>
      </w:tr>
      <w:tr>
        <w:tc>
          <w:tcPr/>
          <w:p>
            <w:pPr>
              <w:pStyle w:val="Compact"/>
            </w:pPr>
            <w:r>
              <w:t xml:space="preserve">Citizen portal account page</w:t>
            </w:r>
          </w:p>
        </w:tc>
        <w:tc>
          <w:tcPr/>
          <w:p>
            <w:pPr>
              <w:pStyle w:val="Compact"/>
            </w:pPr>
            <w:r>
              <w:t xml:space="preserve">Last 4 digits only</w:t>
            </w:r>
          </w:p>
        </w:tc>
        <w:tc>
          <w:tcPr/>
          <w:p>
            <w:pPr>
              <w:pStyle w:val="Compact"/>
            </w:pPr>
            <w:r>
              <w:t xml:space="preserve">No</w:t>
            </w:r>
          </w:p>
        </w:tc>
        <w:tc>
          <w:tcPr/>
          <w:p>
            <w:pPr>
              <w:pStyle w:val="Compact"/>
            </w:pPr>
            <w:r>
              <w:t xml:space="preserve">Identity confirmation only</w:t>
            </w:r>
          </w:p>
        </w:tc>
      </w:tr>
      <w:tr>
        <w:tc>
          <w:tcPr/>
          <w:p>
            <w:pPr>
              <w:pStyle w:val="Compact"/>
            </w:pPr>
            <w:r>
              <w:t xml:space="preserve">Case worker UI — case header</w:t>
            </w:r>
          </w:p>
        </w:tc>
        <w:tc>
          <w:tcPr/>
          <w:p>
            <w:pPr>
              <w:pStyle w:val="Compact"/>
            </w:pPr>
            <w:r>
              <w:t xml:space="preserve">Last 4 digits only</w:t>
            </w:r>
          </w:p>
        </w:tc>
        <w:tc>
          <w:tcPr/>
          <w:p>
            <w:pPr>
              <w:pStyle w:val="Compact"/>
            </w:pPr>
            <w:r>
              <w:t xml:space="preserve">No</w:t>
            </w:r>
          </w:p>
        </w:tc>
        <w:tc>
          <w:tcPr/>
          <w:p>
            <w:pPr>
              <w:pStyle w:val="Compact"/>
            </w:pPr>
            <w:r>
              <w:t xml:space="preserve">Case association only</w:t>
            </w:r>
          </w:p>
        </w:tc>
      </w:tr>
      <w:tr>
        <w:tc>
          <w:tcPr/>
          <w:p>
            <w:pPr>
              <w:pStyle w:val="Compact"/>
            </w:pPr>
            <w:r>
              <w:t xml:space="preserve">Case worker UI — identity verification screen</w:t>
            </w:r>
          </w:p>
        </w:tc>
        <w:tc>
          <w:tcPr/>
          <w:p>
            <w:pPr>
              <w:pStyle w:val="Compact"/>
            </w:pPr>
            <w:r>
              <w:t xml:space="preserve">Full SSN</w:t>
            </w:r>
          </w:p>
        </w:tc>
        <w:tc>
          <w:tcPr/>
          <w:p>
            <w:pPr>
              <w:pStyle w:val="Compact"/>
            </w:pPr>
            <w:r>
              <w:t xml:space="preserve">Yes — role required</w:t>
            </w:r>
          </w:p>
        </w:tc>
        <w:tc>
          <w:tcPr/>
          <w:p>
            <w:pPr>
              <w:pStyle w:val="Compact"/>
            </w:pPr>
            <w:r>
              <w:t xml:space="preserve">Statutory identity match requirement</w:t>
            </w:r>
          </w:p>
        </w:tc>
      </w:tr>
      <w:tr>
        <w:tc>
          <w:tcPr/>
          <w:p>
            <w:pPr>
              <w:pStyle w:val="Compact"/>
            </w:pPr>
            <w:r>
              <w:t xml:space="preserve">API response (external)</w:t>
            </w:r>
          </w:p>
        </w:tc>
        <w:tc>
          <w:tcPr/>
          <w:p>
            <w:pPr>
              <w:pStyle w:val="Compact"/>
            </w:pPr>
            <w:r>
              <w:t xml:space="preserve">Never included</w:t>
            </w:r>
          </w:p>
        </w:tc>
        <w:tc>
          <w:tcPr/>
          <w:p>
            <w:pPr>
              <w:pStyle w:val="Compact"/>
            </w:pPr>
            <w:r>
              <w:t xml:space="preserve">N/A</w:t>
            </w:r>
          </w:p>
        </w:tc>
        <w:tc>
          <w:tcPr/>
          <w:p>
            <w:pPr>
              <w:pStyle w:val="Compact"/>
            </w:pPr>
            <w:r>
              <w:t xml:space="preserve">Excluded from all API schemas</w:t>
            </w:r>
          </w:p>
        </w:tc>
      </w:tr>
    </w:tbl>
    <w:bookmarkEnd w:id="41"/>
    <w:bookmarkStart w:id="42" w:name="X10bded3312b5d585e9f5ca8ea25b7ead3a4079b"/>
    <w:p>
      <w:pPr>
        <w:pStyle w:val="Heading2"/>
      </w:pPr>
      <w:r>
        <w:t xml:space="preserve">7.6 Purview Auto-Labeling for Special Categories</w:t>
      </w:r>
    </w:p>
    <w:p>
      <w:pPr>
        <w:pStyle w:val="FirstParagraph"/>
      </w:pPr>
      <w:r>
        <w:t xml:space="preserve">Vol III Book 05 §6 established auto-labeling rules in Microsoft Purview. The following</w:t>
      </w:r>
      <w:r>
        <w:t xml:space="preserve"> </w:t>
      </w:r>
      <w:r>
        <w:t xml:space="preserve">rules apply to special categories under PT-7:</w:t>
      </w:r>
    </w:p>
    <w:tbl>
      <w:tblPr>
        <w:tblStyle w:val="Table"/>
        <w:tblW w:type="pct" w:w="5000"/>
        <w:tblLayout w:type="fixed"/>
        <w:tblLook w:firstRow="1" w:lastRow="0" w:firstColumn="0" w:lastColumn="0" w:noHBand="0" w:noVBand="0" w:val="0020"/>
      </w:tblPr>
      <w:tblGrid>
        <w:gridCol w:w="1923"/>
        <w:gridCol w:w="2149"/>
        <w:gridCol w:w="2149"/>
        <w:gridCol w:w="1697"/>
      </w:tblGrid>
      <w:tr>
        <w:trPr>
          <w:tblHeader w:val="on"/>
        </w:trPr>
        <w:tc>
          <w:tcPr/>
          <w:p>
            <w:pPr>
              <w:pStyle w:val="Compact"/>
            </w:pPr>
            <w:r>
              <w:t xml:space="preserve">Special Category</w:t>
            </w:r>
          </w:p>
        </w:tc>
        <w:tc>
          <w:tcPr/>
          <w:p>
            <w:pPr>
              <w:pStyle w:val="Compact"/>
            </w:pPr>
            <w:r>
              <w:t xml:space="preserve">Purview Classifier</w:t>
            </w:r>
          </w:p>
        </w:tc>
        <w:tc>
          <w:tcPr/>
          <w:p>
            <w:pPr>
              <w:pStyle w:val="Compact"/>
            </w:pPr>
            <w:r>
              <w:t xml:space="preserve">Auto-Label Applied</w:t>
            </w:r>
          </w:p>
        </w:tc>
        <w:tc>
          <w:tcPr/>
          <w:p>
            <w:pPr>
              <w:pStyle w:val="Compact"/>
            </w:pPr>
            <w:r>
              <w:t xml:space="preserve">Policy Action</w:t>
            </w:r>
          </w:p>
        </w:tc>
      </w:tr>
      <w:tr>
        <w:tc>
          <w:tcPr/>
          <w:p>
            <w:pPr>
              <w:pStyle w:val="Compact"/>
            </w:pPr>
            <w:r>
              <w:t xml:space="preserve">SSN pattern</w:t>
            </w:r>
          </w:p>
        </w:tc>
        <w:tc>
          <w:tcPr/>
          <w:p>
            <w:pPr>
              <w:pStyle w:val="Compact"/>
            </w:pPr>
            <w:r>
              <w:t xml:space="preserve">Built-in: U.S. SSN</w:t>
            </w:r>
          </w:p>
        </w:tc>
        <w:tc>
          <w:tcPr/>
          <w:p>
            <w:pPr>
              <w:pStyle w:val="Compact"/>
            </w:pPr>
            <w:r>
              <w:rPr>
                <w:rStyle w:val="VerbatimChar"/>
              </w:rPr>
              <w:t xml:space="preserve">Restricted-SSN</w:t>
            </w:r>
          </w:p>
        </w:tc>
        <w:tc>
          <w:tcPr/>
          <w:p>
            <w:pPr>
              <w:pStyle w:val="Compact"/>
            </w:pPr>
            <w:r>
              <w:t xml:space="preserve">Block external sharing; require justification for download</w:t>
            </w:r>
          </w:p>
        </w:tc>
      </w:tr>
      <w:tr>
        <w:tc>
          <w:tcPr/>
          <w:p>
            <w:pPr>
              <w:pStyle w:val="Compact"/>
            </w:pPr>
            <w:r>
              <w:t xml:space="preserve">Credit/debit card numbers</w:t>
            </w:r>
          </w:p>
        </w:tc>
        <w:tc>
          <w:tcPr/>
          <w:p>
            <w:pPr>
              <w:pStyle w:val="Compact"/>
            </w:pPr>
            <w:r>
              <w:t xml:space="preserve">Built-in: Credit Card Number</w:t>
            </w:r>
          </w:p>
        </w:tc>
        <w:tc>
          <w:tcPr/>
          <w:p>
            <w:pPr>
              <w:pStyle w:val="Compact"/>
            </w:pPr>
            <w:r>
              <w:rPr>
                <w:rStyle w:val="VerbatimChar"/>
              </w:rPr>
              <w:t xml:space="preserve">Restricted-Financial</w:t>
            </w:r>
          </w:p>
        </w:tc>
        <w:tc>
          <w:tcPr/>
          <w:p>
            <w:pPr>
              <w:pStyle w:val="Compact"/>
            </w:pPr>
            <w:r>
              <w:t xml:space="preserve">Block external sharing; DLP alert</w:t>
            </w:r>
          </w:p>
        </w:tc>
      </w:tr>
      <w:tr>
        <w:tc>
          <w:tcPr/>
          <w:p>
            <w:pPr>
              <w:pStyle w:val="Compact"/>
            </w:pPr>
            <w:r>
              <w:t xml:space="preserve">Medical terms + patient context</w:t>
            </w:r>
          </w:p>
        </w:tc>
        <w:tc>
          <w:tcPr/>
          <w:p>
            <w:pPr>
              <w:pStyle w:val="Compact"/>
            </w:pPr>
            <w:r>
              <w:t xml:space="preserve">Trainable classifier: PHI</w:t>
            </w:r>
          </w:p>
        </w:tc>
        <w:tc>
          <w:tcPr/>
          <w:p>
            <w:pPr>
              <w:pStyle w:val="Compact"/>
            </w:pPr>
            <w:r>
              <w:rPr>
                <w:rStyle w:val="VerbatimChar"/>
              </w:rPr>
              <w:t xml:space="preserve">Restricted-PHI</w:t>
            </w:r>
          </w:p>
        </w:tc>
        <w:tc>
          <w:tcPr/>
          <w:p>
            <w:pPr>
              <w:pStyle w:val="Compact"/>
            </w:pPr>
            <w:r>
              <w:t xml:space="preserve">Block external sharing; require HIPAA workflow</w:t>
            </w:r>
          </w:p>
        </w:tc>
      </w:tr>
      <w:tr>
        <w:tc>
          <w:tcPr/>
          <w:p>
            <w:pPr>
              <w:pStyle w:val="Compact"/>
            </w:pPr>
            <w:r>
              <w:t xml:space="preserve">Passport / visa numbers</w:t>
            </w:r>
          </w:p>
        </w:tc>
        <w:tc>
          <w:tcPr/>
          <w:p>
            <w:pPr>
              <w:pStyle w:val="Compact"/>
            </w:pPr>
            <w:r>
              <w:t xml:space="preserve">Built-in: U.S. Passport</w:t>
            </w:r>
          </w:p>
        </w:tc>
        <w:tc>
          <w:tcPr/>
          <w:p>
            <w:pPr>
              <w:pStyle w:val="Compact"/>
            </w:pPr>
            <w:r>
              <w:rPr>
                <w:rStyle w:val="VerbatimChar"/>
              </w:rPr>
              <w:t xml:space="preserve">Restricted-Sensitive</w:t>
            </w:r>
          </w:p>
        </w:tc>
        <w:tc>
          <w:tcPr/>
          <w:p>
            <w:pPr>
              <w:pStyle w:val="Compact"/>
            </w:pPr>
            <w:r>
              <w:t xml:space="preserve">Block external sharing</w:t>
            </w:r>
          </w:p>
        </w:tc>
      </w:tr>
      <w:tr>
        <w:tc>
          <w:tcPr/>
          <w:p>
            <w:pPr>
              <w:pStyle w:val="Compact"/>
            </w:pPr>
            <w:r>
              <w:t xml:space="preserve">[CUSTOM CATEGORY]</w:t>
            </w:r>
          </w:p>
        </w:tc>
        <w:tc>
          <w:tcPr/>
          <w:p>
            <w:pPr>
              <w:pStyle w:val="Compact"/>
            </w:pPr>
            <w:r>
              <w:t xml:space="preserve">[CLASSIFIER]</w:t>
            </w:r>
          </w:p>
        </w:tc>
        <w:tc>
          <w:tcPr/>
          <w:p>
            <w:pPr>
              <w:pStyle w:val="Compact"/>
            </w:pPr>
            <w:r>
              <w:t xml:space="preserve">[LABEL]</w:t>
            </w:r>
          </w:p>
        </w:tc>
        <w:tc>
          <w:tcPr/>
          <w:p>
            <w:pPr>
              <w:pStyle w:val="Compact"/>
            </w:pPr>
            <w:r>
              <w:t xml:space="preserve">[ACTION]</w:t>
            </w:r>
          </w:p>
        </w:tc>
      </w:tr>
    </w:tbl>
    <w:p>
      <w:r>
        <w:pict>
          <v:rect style="width:0;height:1.5pt" o:hralign="center" o:hrstd="t" o:hr="t"/>
        </w:pict>
      </w:r>
    </w:p>
    <w:bookmarkEnd w:id="42"/>
    <w:bookmarkEnd w:id="43"/>
    <w:bookmarkStart w:id="48" w:name="pii-data-flow-map-template"/>
    <w:p>
      <w:pPr>
        <w:pStyle w:val="Heading1"/>
      </w:pPr>
      <w:r>
        <w:t xml:space="preserve">8. PII Data Flow Map Template</w:t>
      </w:r>
    </w:p>
    <w:bookmarkStart w:id="44" w:name="template-purpose"/>
    <w:p>
      <w:pPr>
        <w:pStyle w:val="Heading2"/>
      </w:pPr>
      <w:r>
        <w:t xml:space="preserve">8.1 Template Purpose</w:t>
      </w:r>
    </w:p>
    <w:p>
      <w:pPr>
        <w:pStyle w:val="FirstParagraph"/>
      </w:pPr>
      <w:r>
        <w:t xml:space="preserve">PT-2 through PT-7 collectively require the agency to</w:t>
      </w:r>
      <w:r>
        <w:t xml:space="preserve"> </w:t>
      </w:r>
      <w:r>
        <w:rPr>
          <w:i/>
          <w:iCs/>
        </w:rPr>
        <w:t xml:space="preserve">know where its PII is</w:t>
      </w:r>
      <w:r>
        <w:t xml:space="preserve">.</w:t>
      </w:r>
      <w:r>
        <w:t xml:space="preserve"> </w:t>
      </w:r>
      <w:r>
        <w:t xml:space="preserve">The data flow map is the single artifact that makes that knowledge auditable.</w:t>
      </w:r>
      <w:r>
        <w:t xml:space="preserve"> </w:t>
      </w:r>
      <w:r>
        <w:t xml:space="preserve">It must be maintained current and reviewed at each annual privacy assessment.</w:t>
      </w:r>
      <w:r>
        <w:t xml:space="preserve"> </w:t>
      </w:r>
      <w:r>
        <w:t xml:space="preserve">Microsoft Purview Data Map lineage (Vol III Book 05 §3) provides automated discovery of</w:t>
      </w:r>
      <w:r>
        <w:t xml:space="preserve"> </w:t>
      </w:r>
      <w:r>
        <w:t xml:space="preserve">data flows; this template captures the authoritative human-reviewed record.</w:t>
      </w:r>
    </w:p>
    <w:bookmarkEnd w:id="44"/>
    <w:bookmarkStart w:id="45" w:name="pii-data-flow-registry"/>
    <w:p>
      <w:pPr>
        <w:pStyle w:val="Heading2"/>
      </w:pPr>
      <w:r>
        <w:t xml:space="preserve">8.2 PII Data Flow Registry</w:t>
      </w:r>
    </w:p>
    <w:p>
      <w:pPr>
        <w:pStyle w:val="BlockText"/>
      </w:pPr>
      <w:r>
        <w:t xml:space="preserve">[FILLABLE] Assign a unique Flow ID to each PII data flow in the system.</w:t>
      </w:r>
      <w:r>
        <w:t xml:space="preserve"> </w:t>
      </w:r>
      <w:r>
        <w:t xml:space="preserve">Every row represents one discrete flow of PII from source to destination.</w:t>
      </w:r>
      <w:r>
        <w:t xml:space="preserve"> </w:t>
      </w:r>
      <w:r>
        <w:t xml:space="preserve">Review against Purview lineage scan results to identify undocumented flows.</w:t>
      </w:r>
    </w:p>
    <w:tbl>
      <w:tblPr>
        <w:tblStyle w:val="Table"/>
        <w:tblW w:type="pct" w:w="5000"/>
        <w:tblLayout w:type="fixed"/>
        <w:tblLook w:firstRow="1" w:lastRow="0" w:firstColumn="0" w:lastColumn="0" w:noHBand="0" w:noVBand="0" w:val="0020"/>
      </w:tblPr>
      <w:tblGrid>
        <w:gridCol w:w="442"/>
        <w:gridCol w:w="688"/>
        <w:gridCol w:w="737"/>
        <w:gridCol w:w="934"/>
        <w:gridCol w:w="639"/>
        <w:gridCol w:w="787"/>
        <w:gridCol w:w="1082"/>
        <w:gridCol w:w="934"/>
        <w:gridCol w:w="836"/>
        <w:gridCol w:w="836"/>
      </w:tblGrid>
      <w:tr>
        <w:trPr>
          <w:tblHeader w:val="on"/>
        </w:trPr>
        <w:tc>
          <w:tcPr/>
          <w:p>
            <w:pPr>
              <w:pStyle w:val="Compact"/>
            </w:pPr>
            <w:r>
              <w:t xml:space="preserve">Flow ID</w:t>
            </w:r>
          </w:p>
        </w:tc>
        <w:tc>
          <w:tcPr/>
          <w:p>
            <w:pPr>
              <w:pStyle w:val="Compact"/>
            </w:pPr>
            <w:r>
              <w:t xml:space="preserve">Source System</w:t>
            </w:r>
          </w:p>
        </w:tc>
        <w:tc>
          <w:tcPr/>
          <w:p>
            <w:pPr>
              <w:pStyle w:val="Compact"/>
            </w:pPr>
            <w:r>
              <w:t xml:space="preserve">PII Categories</w:t>
            </w:r>
          </w:p>
        </w:tc>
        <w:tc>
          <w:tcPr/>
          <w:p>
            <w:pPr>
              <w:pStyle w:val="Compact"/>
            </w:pPr>
            <w:r>
              <w:t xml:space="preserve">Processing Purpose</w:t>
            </w:r>
          </w:p>
        </w:tc>
        <w:tc>
          <w:tcPr/>
          <w:p>
            <w:pPr>
              <w:pStyle w:val="Compact"/>
            </w:pPr>
            <w:r>
              <w:t xml:space="preserve">Destination</w:t>
            </w:r>
          </w:p>
        </w:tc>
        <w:tc>
          <w:tcPr/>
          <w:p>
            <w:pPr>
              <w:pStyle w:val="Compact"/>
            </w:pPr>
            <w:r>
              <w:t xml:space="preserve">Cross-Boundary?</w:t>
            </w:r>
          </w:p>
        </w:tc>
        <w:tc>
          <w:tcPr/>
          <w:p>
            <w:pPr>
              <w:pStyle w:val="Compact"/>
            </w:pPr>
            <w:r>
              <w:t xml:space="preserve">Encryption In Transit</w:t>
            </w:r>
          </w:p>
        </w:tc>
        <w:tc>
          <w:tcPr/>
          <w:p>
            <w:pPr>
              <w:pStyle w:val="Compact"/>
            </w:pPr>
            <w:r>
              <w:t xml:space="preserve">Encryption At Rest</w:t>
            </w:r>
          </w:p>
        </w:tc>
        <w:tc>
          <w:tcPr/>
          <w:p>
            <w:pPr>
              <w:pStyle w:val="Compact"/>
            </w:pPr>
            <w:r>
              <w:t xml:space="preserve">Retention Period</w:t>
            </w:r>
          </w:p>
        </w:tc>
        <w:tc>
          <w:tcPr/>
          <w:p>
            <w:pPr>
              <w:pStyle w:val="Compact"/>
            </w:pPr>
            <w:r>
              <w:t xml:space="preserve">Disposal Method</w:t>
            </w:r>
          </w:p>
        </w:tc>
      </w:tr>
      <w:tr>
        <w:tc>
          <w:tcPr/>
          <w:p>
            <w:pPr>
              <w:pStyle w:val="Compact"/>
            </w:pPr>
            <w:r>
              <w:t xml:space="preserve">DFL-001</w:t>
            </w:r>
          </w:p>
        </w:tc>
        <w:tc>
          <w:tcPr/>
          <w:p>
            <w:pPr>
              <w:pStyle w:val="Compact"/>
            </w:pPr>
            <w:r>
              <w:t xml:space="preserve">Citizen portal (intake form)</w:t>
            </w:r>
          </w:p>
        </w:tc>
        <w:tc>
          <w:tcPr/>
          <w:p>
            <w:pPr>
              <w:pStyle w:val="Compact"/>
            </w:pPr>
            <w:r>
              <w:t xml:space="preserve">Name, DOB, SSN, address, contact info</w:t>
            </w:r>
          </w:p>
        </w:tc>
        <w:tc>
          <w:tcPr/>
          <w:p>
            <w:pPr>
              <w:pStyle w:val="Compact"/>
            </w:pPr>
            <w:r>
              <w:t xml:space="preserve">Benefit application intake</w:t>
            </w:r>
          </w:p>
        </w:tc>
        <w:tc>
          <w:tcPr/>
          <w:p>
            <w:pPr>
              <w:pStyle w:val="Compact"/>
            </w:pPr>
            <w:r>
              <w:t xml:space="preserve">Agency case management system</w:t>
            </w:r>
          </w:p>
        </w:tc>
        <w:tc>
          <w:tcPr/>
          <w:p>
            <w:pPr>
              <w:pStyle w:val="Compact"/>
            </w:pPr>
            <w:r>
              <w:t xml:space="preserve">No (internal)</w:t>
            </w:r>
          </w:p>
        </w:tc>
        <w:tc>
          <w:tcPr/>
          <w:p>
            <w:pPr>
              <w:pStyle w:val="Compact"/>
            </w:pPr>
            <w:r>
              <w:t xml:space="preserve">TLS 1.3</w:t>
            </w:r>
          </w:p>
        </w:tc>
        <w:tc>
          <w:tcPr/>
          <w:p>
            <w:pPr>
              <w:pStyle w:val="Compact"/>
            </w:pPr>
            <w:r>
              <w:t xml:space="preserve">AES-256 CMK</w:t>
            </w:r>
          </w:p>
        </w:tc>
        <w:tc>
          <w:tcPr/>
          <w:p>
            <w:pPr>
              <w:pStyle w:val="Compact"/>
            </w:pPr>
            <w:r>
              <w:t xml:space="preserve">[N years]</w:t>
            </w:r>
          </w:p>
        </w:tc>
        <w:tc>
          <w:tcPr/>
          <w:p>
            <w:pPr>
              <w:pStyle w:val="Compact"/>
            </w:pPr>
            <w:r>
              <w:t xml:space="preserve">NIST 800-88 purge</w:t>
            </w:r>
          </w:p>
        </w:tc>
      </w:tr>
      <w:tr>
        <w:tc>
          <w:tcPr/>
          <w:p>
            <w:pPr>
              <w:pStyle w:val="Compact"/>
            </w:pPr>
            <w:r>
              <w:t xml:space="preserve">DFL-002</w:t>
            </w:r>
          </w:p>
        </w:tc>
        <w:tc>
          <w:tcPr/>
          <w:p>
            <w:pPr>
              <w:pStyle w:val="Compact"/>
            </w:pPr>
            <w:r>
              <w:t xml:space="preserve">Agency case management</w:t>
            </w:r>
          </w:p>
        </w:tc>
        <w:tc>
          <w:tcPr/>
          <w:p>
            <w:pPr>
              <w:pStyle w:val="Compact"/>
            </w:pPr>
            <w:r>
              <w:t xml:space="preserve">SSN, medical records, benefit amounts</w:t>
            </w:r>
          </w:p>
        </w:tc>
        <w:tc>
          <w:tcPr/>
          <w:p>
            <w:pPr>
              <w:pStyle w:val="Compact"/>
            </w:pPr>
            <w:r>
              <w:t xml:space="preserve">Disability determination</w:t>
            </w:r>
          </w:p>
        </w:tc>
        <w:tc>
          <w:tcPr/>
          <w:p>
            <w:pPr>
              <w:pStyle w:val="Compact"/>
            </w:pPr>
            <w:r>
              <w:t xml:space="preserve">[CASE ADJUDICATION SYSTEM]</w:t>
            </w:r>
          </w:p>
        </w:tc>
        <w:tc>
          <w:tcPr/>
          <w:p>
            <w:pPr>
              <w:pStyle w:val="Compact"/>
            </w:pPr>
            <w:r>
              <w:t xml:space="preserve">No (internal)</w:t>
            </w:r>
          </w:p>
        </w:tc>
        <w:tc>
          <w:tcPr/>
          <w:p>
            <w:pPr>
              <w:pStyle w:val="Compact"/>
            </w:pPr>
            <w:r>
              <w:t xml:space="preserve">TLS 1.3</w:t>
            </w:r>
          </w:p>
        </w:tc>
        <w:tc>
          <w:tcPr/>
          <w:p>
            <w:pPr>
              <w:pStyle w:val="Compact"/>
            </w:pPr>
            <w:r>
              <w:t xml:space="preserve">AES-256 CMK</w:t>
            </w:r>
          </w:p>
        </w:tc>
        <w:tc>
          <w:tcPr/>
          <w:p>
            <w:pPr>
              <w:pStyle w:val="Compact"/>
            </w:pPr>
            <w:r>
              <w:t xml:space="preserve">5 years post-determination</w:t>
            </w:r>
          </w:p>
        </w:tc>
        <w:tc>
          <w:tcPr/>
          <w:p>
            <w:pPr>
              <w:pStyle w:val="Compact"/>
            </w:pPr>
            <w:r>
              <w:t xml:space="preserve">Secure destruction + purge</w:t>
            </w:r>
          </w:p>
        </w:tc>
      </w:tr>
      <w:tr>
        <w:tc>
          <w:tcPr/>
          <w:p>
            <w:pPr>
              <w:pStyle w:val="Compact"/>
            </w:pPr>
            <w:r>
              <w:t xml:space="preserve">DFL-003</w:t>
            </w:r>
          </w:p>
        </w:tc>
        <w:tc>
          <w:tcPr/>
          <w:p>
            <w:pPr>
              <w:pStyle w:val="Compact"/>
            </w:pPr>
            <w:r>
              <w:t xml:space="preserve">Contact center (Amazon Connect)</w:t>
            </w:r>
          </w:p>
        </w:tc>
        <w:tc>
          <w:tcPr/>
          <w:p>
            <w:pPr>
              <w:pStyle w:val="Compact"/>
            </w:pPr>
            <w:r>
              <w:t xml:space="preserve">Name, SSN (last 4), case number, call recording</w:t>
            </w:r>
          </w:p>
        </w:tc>
        <w:tc>
          <w:tcPr/>
          <w:p>
            <w:pPr>
              <w:pStyle w:val="Compact"/>
            </w:pPr>
            <w:r>
              <w:t xml:space="preserve">Citizen service delivery</w:t>
            </w:r>
          </w:p>
        </w:tc>
        <w:tc>
          <w:tcPr/>
          <w:p>
            <w:pPr>
              <w:pStyle w:val="Compact"/>
            </w:pPr>
            <w:r>
              <w:t xml:space="preserve">CRM ([SYSTEM NAME])</w:t>
            </w:r>
          </w:p>
        </w:tc>
        <w:tc>
          <w:tcPr/>
          <w:p>
            <w:pPr>
              <w:pStyle w:val="Compact"/>
            </w:pPr>
            <w:r>
              <w:t xml:space="preserve">No (internal)</w:t>
            </w:r>
          </w:p>
        </w:tc>
        <w:tc>
          <w:tcPr/>
          <w:p>
            <w:pPr>
              <w:pStyle w:val="Compact"/>
            </w:pPr>
            <w:r>
              <w:t xml:space="preserve">TLS 1.3 (Connect to CRM)</w:t>
            </w:r>
          </w:p>
        </w:tc>
        <w:tc>
          <w:tcPr/>
          <w:p>
            <w:pPr>
              <w:pStyle w:val="Compact"/>
            </w:pPr>
            <w:r>
              <w:t xml:space="preserve">AES-256 at rest</w:t>
            </w:r>
          </w:p>
        </w:tc>
        <w:tc>
          <w:tcPr/>
          <w:p>
            <w:pPr>
              <w:pStyle w:val="Compact"/>
            </w:pPr>
            <w:r>
              <w:t xml:space="preserve">7 years</w:t>
            </w:r>
          </w:p>
        </w:tc>
        <w:tc>
          <w:tcPr/>
          <w:p>
            <w:pPr>
              <w:pStyle w:val="Compact"/>
            </w:pPr>
            <w:r>
              <w:t xml:space="preserve">NIST 800-88 purge</w:t>
            </w:r>
          </w:p>
        </w:tc>
      </w:tr>
      <w:tr>
        <w:tc>
          <w:tcPr/>
          <w:p>
            <w:pPr>
              <w:pStyle w:val="Compact"/>
            </w:pPr>
            <w:r>
              <w:t xml:space="preserve">DFL-004</w:t>
            </w:r>
          </w:p>
        </w:tc>
        <w:tc>
          <w:tcPr/>
          <w:p>
            <w:pPr>
              <w:pStyle w:val="Compact"/>
            </w:pPr>
            <w:r>
              <w:t xml:space="preserve">Agency case management</w:t>
            </w:r>
          </w:p>
        </w:tc>
        <w:tc>
          <w:tcPr/>
          <w:p>
            <w:pPr>
              <w:pStyle w:val="Compact"/>
            </w:pPr>
            <w:r>
              <w:t xml:space="preserve">SSN, benefit amount, tax withholding</w:t>
            </w:r>
          </w:p>
        </w:tc>
        <w:tc>
          <w:tcPr/>
          <w:p>
            <w:pPr>
              <w:pStyle w:val="Compact"/>
            </w:pPr>
            <w:r>
              <w:t xml:space="preserve">Annual tax statement (1099)</w:t>
            </w:r>
          </w:p>
        </w:tc>
        <w:tc>
          <w:tcPr/>
          <w:p>
            <w:pPr>
              <w:pStyle w:val="Compact"/>
            </w:pPr>
            <w:r>
              <w:t xml:space="preserve">IRS (FEDS Pay or direct filing system)</w:t>
            </w:r>
          </w:p>
        </w:tc>
        <w:tc>
          <w:tcPr/>
          <w:p>
            <w:pPr>
              <w:pStyle w:val="Compact"/>
            </w:pPr>
            <w:r>
              <w:t xml:space="preserve">Yes — external federal</w:t>
            </w:r>
          </w:p>
        </w:tc>
        <w:tc>
          <w:tcPr/>
          <w:p>
            <w:pPr>
              <w:pStyle w:val="Compact"/>
            </w:pPr>
            <w:r>
              <w:t xml:space="preserve">TLS 1.3</w:t>
            </w:r>
          </w:p>
        </w:tc>
        <w:tc>
          <w:tcPr/>
          <w:p>
            <w:pPr>
              <w:pStyle w:val="Compact"/>
            </w:pPr>
            <w:r>
              <w:t xml:space="preserve">AES-256 CMK</w:t>
            </w:r>
          </w:p>
        </w:tc>
        <w:tc>
          <w:tcPr/>
          <w:p>
            <w:pPr>
              <w:pStyle w:val="Compact"/>
            </w:pPr>
            <w:r>
              <w:t xml:space="preserve">7 years</w:t>
            </w:r>
          </w:p>
        </w:tc>
        <w:tc>
          <w:tcPr/>
          <w:p>
            <w:pPr>
              <w:pStyle w:val="Compact"/>
            </w:pPr>
            <w:r>
              <w:t xml:space="preserve">NIST 800-88 purge</w:t>
            </w:r>
          </w:p>
        </w:tc>
      </w:tr>
      <w:tr>
        <w:tc>
          <w:tcPr/>
          <w:p>
            <w:pPr>
              <w:pStyle w:val="Compact"/>
            </w:pPr>
            <w:r>
              <w:t xml:space="preserve">DFL-005</w:t>
            </w:r>
          </w:p>
        </w:tc>
        <w:tc>
          <w:tcPr/>
          <w:p>
            <w:pPr>
              <w:pStyle w:val="Compact"/>
            </w:pPr>
            <w:r>
              <w:t xml:space="preserve">Agency — Medicare Part B records</w:t>
            </w:r>
          </w:p>
        </w:tc>
        <w:tc>
          <w:tcPr/>
          <w:p>
            <w:pPr>
              <w:pStyle w:val="Compact"/>
            </w:pPr>
            <w:r>
              <w:t xml:space="preserve">PHI, SSN, Medicare ID</w:t>
            </w:r>
          </w:p>
        </w:tc>
        <w:tc>
          <w:tcPr/>
          <w:p>
            <w:pPr>
              <w:pStyle w:val="Compact"/>
            </w:pPr>
            <w:r>
              <w:t xml:space="preserve">CMS coordination</w:t>
            </w:r>
          </w:p>
        </w:tc>
        <w:tc>
          <w:tcPr/>
          <w:p>
            <w:pPr>
              <w:pStyle w:val="Compact"/>
            </w:pPr>
            <w:r>
              <w:t xml:space="preserve">Centers for Medicare &amp; Medicaid Services</w:t>
            </w:r>
          </w:p>
        </w:tc>
        <w:tc>
          <w:tcPr/>
          <w:p>
            <w:pPr>
              <w:pStyle w:val="Compact"/>
            </w:pPr>
            <w:r>
              <w:t xml:space="preserve">Yes — external federal</w:t>
            </w:r>
          </w:p>
        </w:tc>
        <w:tc>
          <w:tcPr/>
          <w:p>
            <w:pPr>
              <w:pStyle w:val="Compact"/>
            </w:pPr>
            <w:r>
              <w:t xml:space="preserve">TLS 1.3 + payload encryption</w:t>
            </w:r>
          </w:p>
        </w:tc>
        <w:tc>
          <w:tcPr/>
          <w:p>
            <w:pPr>
              <w:pStyle w:val="Compact"/>
            </w:pPr>
            <w:r>
              <w:t xml:space="preserve">AES-256 CMK</w:t>
            </w:r>
          </w:p>
        </w:tc>
        <w:tc>
          <w:tcPr/>
          <w:p>
            <w:pPr>
              <w:pStyle w:val="Compact"/>
            </w:pPr>
            <w:r>
              <w:t xml:space="preserve">Per CMS DSA</w:t>
            </w:r>
          </w:p>
        </w:tc>
        <w:tc>
          <w:tcPr/>
          <w:p>
            <w:pPr>
              <w:pStyle w:val="Compact"/>
            </w:pPr>
            <w:r>
              <w:t xml:space="preserve">Per CMS DSA</w:t>
            </w:r>
          </w:p>
        </w:tc>
      </w:tr>
      <w:tr>
        <w:tc>
          <w:tcPr/>
          <w:p>
            <w:pPr>
              <w:pStyle w:val="Compact"/>
            </w:pPr>
            <w:r>
              <w:t xml:space="preserve">DFL-006</w:t>
            </w:r>
          </w:p>
        </w:tc>
        <w:tc>
          <w:tcPr/>
          <w:p>
            <w:pPr>
              <w:pStyle w:val="Compact"/>
            </w:pPr>
            <w:r>
              <w:t xml:space="preserve">HR system</w:t>
            </w:r>
          </w:p>
        </w:tc>
        <w:tc>
          <w:tcPr/>
          <w:p>
            <w:pPr>
              <w:pStyle w:val="Compact"/>
            </w:pPr>
            <w:r>
              <w:t xml:space="preserve">Employee PII, payroll, health benefit enrollment</w:t>
            </w:r>
          </w:p>
        </w:tc>
        <w:tc>
          <w:tcPr/>
          <w:p>
            <w:pPr>
              <w:pStyle w:val="Compact"/>
            </w:pPr>
            <w:r>
              <w:t xml:space="preserve">Workforce administration</w:t>
            </w:r>
          </w:p>
        </w:tc>
        <w:tc>
          <w:tcPr/>
          <w:p>
            <w:pPr>
              <w:pStyle w:val="Compact"/>
            </w:pPr>
            <w:r>
              <w:t xml:space="preserve">OPM retirement system; FEHB carriers</w:t>
            </w:r>
          </w:p>
        </w:tc>
        <w:tc>
          <w:tcPr/>
          <w:p>
            <w:pPr>
              <w:pStyle w:val="Compact"/>
            </w:pPr>
            <w:r>
              <w:t xml:space="preserve">Yes — external federal / commercial</w:t>
            </w:r>
          </w:p>
        </w:tc>
        <w:tc>
          <w:tcPr/>
          <w:p>
            <w:pPr>
              <w:pStyle w:val="Compact"/>
            </w:pPr>
            <w:r>
              <w:t xml:space="preserve">TLS 1.3</w:t>
            </w:r>
          </w:p>
        </w:tc>
        <w:tc>
          <w:tcPr/>
          <w:p>
            <w:pPr>
              <w:pStyle w:val="Compact"/>
            </w:pPr>
            <w:r>
              <w:t xml:space="preserve">AES-256 CMK</w:t>
            </w:r>
          </w:p>
        </w:tc>
        <w:tc>
          <w:tcPr/>
          <w:p>
            <w:pPr>
              <w:pStyle w:val="Compact"/>
            </w:pPr>
            <w:r>
              <w:t xml:space="preserve">Per OPM schedule</w:t>
            </w:r>
          </w:p>
        </w:tc>
        <w:tc>
          <w:tcPr/>
          <w:p>
            <w:pPr>
              <w:pStyle w:val="Compact"/>
            </w:pPr>
            <w:r>
              <w:t xml:space="preserve">NIST 800-88 purge</w:t>
            </w:r>
          </w:p>
        </w:tc>
      </w:tr>
      <w:tr>
        <w:tc>
          <w:tcPr/>
          <w:p>
            <w:pPr>
              <w:pStyle w:val="Compact"/>
            </w:pPr>
            <w:r>
              <w:t xml:space="preserve">[DFL-NNN]</w:t>
            </w:r>
          </w:p>
        </w:tc>
        <w:tc>
          <w:tcPr/>
          <w:p>
            <w:pPr>
              <w:pStyle w:val="Compact"/>
            </w:pPr>
            <w:r>
              <w:t xml:space="preserve">[SOURCE]</w:t>
            </w:r>
          </w:p>
        </w:tc>
        <w:tc>
          <w:tcPr/>
          <w:p>
            <w:pPr>
              <w:pStyle w:val="Compact"/>
            </w:pPr>
            <w:r>
              <w:t xml:space="preserve">[PII CATEGORIES]</w:t>
            </w:r>
          </w:p>
        </w:tc>
        <w:tc>
          <w:tcPr/>
          <w:p>
            <w:pPr>
              <w:pStyle w:val="Compact"/>
            </w:pPr>
            <w:r>
              <w:t xml:space="preserve">[PURPOSE]</w:t>
            </w:r>
          </w:p>
        </w:tc>
        <w:tc>
          <w:tcPr/>
          <w:p>
            <w:pPr>
              <w:pStyle w:val="Compact"/>
            </w:pPr>
            <w:r>
              <w:t xml:space="preserve">[DESTINATION]</w:t>
            </w:r>
          </w:p>
        </w:tc>
        <w:tc>
          <w:tcPr/>
          <w:p>
            <w:pPr>
              <w:pStyle w:val="Compact"/>
            </w:pPr>
            <w:r>
              <w:t xml:space="preserve">[YES/NO]</w:t>
            </w:r>
          </w:p>
        </w:tc>
        <w:tc>
          <w:tcPr/>
          <w:p>
            <w:pPr>
              <w:pStyle w:val="Compact"/>
            </w:pPr>
            <w:r>
              <w:t xml:space="preserve">[PROTOCOL]</w:t>
            </w:r>
          </w:p>
        </w:tc>
        <w:tc>
          <w:tcPr/>
          <w:p>
            <w:pPr>
              <w:pStyle w:val="Compact"/>
            </w:pPr>
            <w:r>
              <w:t xml:space="preserve">[STANDARD]</w:t>
            </w:r>
          </w:p>
        </w:tc>
        <w:tc>
          <w:tcPr/>
          <w:p>
            <w:pPr>
              <w:pStyle w:val="Compact"/>
            </w:pPr>
            <w:r>
              <w:t xml:space="preserve">[PERIOD]</w:t>
            </w:r>
          </w:p>
        </w:tc>
        <w:tc>
          <w:tcPr/>
          <w:p>
            <w:pPr>
              <w:pStyle w:val="Compact"/>
            </w:pPr>
            <w:r>
              <w:t xml:space="preserve">[METHOD]</w:t>
            </w:r>
          </w:p>
        </w:tc>
      </w:tr>
    </w:tbl>
    <w:bookmarkEnd w:id="45"/>
    <w:bookmarkStart w:id="46" w:name="required-data-flow-scenarios"/>
    <w:p>
      <w:pPr>
        <w:pStyle w:val="Heading2"/>
      </w:pPr>
      <w:r>
        <w:t xml:space="preserve">8.3 Required Data Flow Scenarios</w:t>
      </w:r>
    </w:p>
    <w:p>
      <w:pPr>
        <w:pStyle w:val="FirstParagraph"/>
      </w:pPr>
      <w:r>
        <w:t xml:space="preserve">The following four scenarios must be documented in the registry above before</w:t>
      </w:r>
      <w:r>
        <w:t xml:space="preserve"> </w:t>
      </w:r>
      <w:r>
        <w:t xml:space="preserve">the system can achieve FedRAMP 20x authorization:</w:t>
      </w:r>
    </w:p>
    <w:p>
      <w:pPr>
        <w:pStyle w:val="BodyText"/>
      </w:pPr>
      <w:r>
        <w:rPr>
          <w:b/>
          <w:bCs/>
        </w:rPr>
        <w:t xml:space="preserve">Scenario 1 — Citizen Portal Intake</w:t>
      </w:r>
    </w:p>
    <w:p>
      <w:pPr>
        <w:pStyle w:val="BodyText"/>
      </w:pPr>
      <w:r>
        <w:t xml:space="preserve">Document all flows from initial web form submission through case creation.</w:t>
      </w:r>
      <w:r>
        <w:t xml:space="preserve"> </w:t>
      </w:r>
      <w:r>
        <w:t xml:space="preserve">Confirm PT-5 notice is displayed before any PII is collected. Confirm SSN</w:t>
      </w:r>
      <w:r>
        <w:t xml:space="preserve"> </w:t>
      </w:r>
      <w:r>
        <w:t xml:space="preserve">auto-labeling triggers on intake (Vol III Book 05 §6).</w:t>
      </w:r>
    </w:p>
    <w:p>
      <w:pPr>
        <w:pStyle w:val="BodyText"/>
      </w:pPr>
      <w:r>
        <w:rPr>
          <w:b/>
          <w:bCs/>
        </w:rPr>
        <w:t xml:space="preserve">Scenario 2 — Contact Center (Amazon Connect)</w:t>
      </w:r>
    </w:p>
    <w:p>
      <w:pPr>
        <w:pStyle w:val="BodyText"/>
      </w:pPr>
      <w:r>
        <w:t xml:space="preserve">Document call routing, call recording storage, CRM write, and any screen-pop</w:t>
      </w:r>
      <w:r>
        <w:t xml:space="preserve"> </w:t>
      </w:r>
      <w:r>
        <w:t xml:space="preserve">of PII from case management. Confirm call recording consent notice (PT-4 §5).</w:t>
      </w:r>
      <w:r>
        <w:t xml:space="preserve"> </w:t>
      </w:r>
      <w:r>
        <w:t xml:space="preserve">Confirm recording retention aligns with PT-2 matrix (§3).</w:t>
      </w:r>
    </w:p>
    <w:p>
      <w:pPr>
        <w:pStyle w:val="BodyText"/>
      </w:pPr>
      <w:r>
        <w:rPr>
          <w:b/>
          <w:bCs/>
        </w:rPr>
        <w:t xml:space="preserve">Scenario 3 — HR / Workforce</w:t>
      </w:r>
    </w:p>
    <w:p>
      <w:pPr>
        <w:pStyle w:val="BodyText"/>
      </w:pPr>
      <w:r>
        <w:t xml:space="preserve">Document all HR PII flows including payroll, benefits, and disciplinary records.</w:t>
      </w:r>
      <w:r>
        <w:t xml:space="preserve"> </w:t>
      </w:r>
      <w:r>
        <w:t xml:space="preserve">Confirm OPM SORN coverage. Confirm FEHB carrier data sharing is covered by</w:t>
      </w:r>
      <w:r>
        <w:t xml:space="preserve"> </w:t>
      </w:r>
      <w:r>
        <w:t xml:space="preserve">DSA and SORN routine use.</w:t>
      </w:r>
    </w:p>
    <w:p>
      <w:pPr>
        <w:pStyle w:val="BodyText"/>
      </w:pPr>
      <w:r>
        <w:rPr>
          <w:b/>
          <w:bCs/>
        </w:rPr>
        <w:t xml:space="preserve">Scenario 4 — Cross-Agency Sharing via API</w:t>
      </w:r>
    </w:p>
    <w:p>
      <w:pPr>
        <w:pStyle w:val="BodyText"/>
      </w:pPr>
      <w:r>
        <w:t xml:space="preserve">Document each external API that sends or receives PII. For each: (a) confirm</w:t>
      </w:r>
      <w:r>
        <w:t xml:space="preserve"> </w:t>
      </w:r>
      <w:r>
        <w:t xml:space="preserve">a signed DSA is on file, (b) confirm the sending agency’s SORN covers the</w:t>
      </w:r>
      <w:r>
        <w:t xml:space="preserve"> </w:t>
      </w:r>
      <w:r>
        <w:t xml:space="preserve">receiving use, (c) confirm encryption and authentication standards meet GCC</w:t>
      </w:r>
      <w:r>
        <w:t xml:space="preserve"> </w:t>
      </w:r>
      <w:r>
        <w:t xml:space="preserve">Moderate requirements (FIPS-validated TLS 1.2+; this series standardizes on</w:t>
      </w:r>
      <w:r>
        <w:t xml:space="preserve"> </w:t>
      </w:r>
      <w:r>
        <w:t xml:space="preserve">TLS 1.3 with mutual TLS preferred for cross-agency API calls).</w:t>
      </w:r>
    </w:p>
    <w:bookmarkEnd w:id="46"/>
    <w:bookmarkStart w:id="47" w:name="azure-purview-lineage-integration"/>
    <w:p>
      <w:pPr>
        <w:pStyle w:val="Heading2"/>
      </w:pPr>
      <w:r>
        <w:t xml:space="preserve">8.4 Azure Purview Lineage Integration</w:t>
      </w:r>
    </w:p>
    <w:p>
      <w:pPr>
        <w:pStyle w:val="FirstParagraph"/>
      </w:pPr>
      <w:r>
        <w:t xml:space="preserve">Microsoft Purview Data Map scans registered data sources and builds an automated</w:t>
      </w:r>
      <w:r>
        <w:t xml:space="preserve"> </w:t>
      </w:r>
      <w:r>
        <w:t xml:space="preserve">lineage graph showing data asset relationships. This scan does not replace manual</w:t>
      </w:r>
      <w:r>
        <w:t xml:space="preserve"> </w:t>
      </w:r>
      <w:r>
        <w:t xml:space="preserve">documentation but identifies gaps:</w:t>
      </w:r>
    </w:p>
    <w:p>
      <w:pPr>
        <w:pStyle w:val="Compact"/>
        <w:numPr>
          <w:ilvl w:val="0"/>
          <w:numId w:val="1016"/>
        </w:numPr>
      </w:pPr>
      <w:r>
        <w:t xml:space="preserve">Register all data sources in Purview (databases, storage accounts, data</w:t>
      </w:r>
      <w:r>
        <w:t xml:space="preserve"> </w:t>
      </w:r>
      <w:r>
        <w:t xml:space="preserve">factories) per Vol III Book 05 §3</w:t>
      </w:r>
    </w:p>
    <w:p>
      <w:pPr>
        <w:pStyle w:val="Compact"/>
        <w:numPr>
          <w:ilvl w:val="0"/>
          <w:numId w:val="1016"/>
        </w:numPr>
      </w:pPr>
      <w:r>
        <w:t xml:space="preserve">Run a lineage scan quarterly; export the lineage report</w:t>
      </w:r>
    </w:p>
    <w:p>
      <w:pPr>
        <w:pStyle w:val="Compact"/>
        <w:numPr>
          <w:ilvl w:val="0"/>
          <w:numId w:val="1016"/>
        </w:numPr>
      </w:pPr>
      <w:r>
        <w:t xml:space="preserve">Compare automated lineage report against this manual registry</w:t>
      </w:r>
    </w:p>
    <w:p>
      <w:pPr>
        <w:pStyle w:val="Compact"/>
        <w:numPr>
          <w:ilvl w:val="0"/>
          <w:numId w:val="1016"/>
        </w:numPr>
      </w:pPr>
      <w:r>
        <w:t xml:space="preserve">Any flow appearing in Purview lineage but not in this registry must be</w:t>
      </w:r>
      <w:r>
        <w:t xml:space="preserve"> </w:t>
      </w:r>
      <w:r>
        <w:t xml:space="preserve">investigated, documented, or remediated before the next annual privacy review</w:t>
      </w:r>
    </w:p>
    <w:p>
      <w:pPr>
        <w:pStyle w:val="BlockText"/>
      </w:pPr>
      <w:r>
        <w:t xml:space="preserve">[FILLABLE] Record the date of the most recent Purview lineage scan and the</w:t>
      </w:r>
      <w:r>
        <w:t xml:space="preserve"> </w:t>
      </w:r>
      <w:r>
        <w:t xml:space="preserve">name of the person who reviewed the comparison output:</w:t>
      </w:r>
    </w:p>
    <w:p>
      <w:pPr>
        <w:pStyle w:val="BlockText"/>
      </w:pPr>
      <w:r>
        <w:t xml:space="preserve">Last Purview lineage scan date: [DATE]</w:t>
      </w:r>
      <w:r>
        <w:t xml:space="preserve"> </w:t>
      </w:r>
      <w:r>
        <w:t xml:space="preserve">Reviewed by: [NAME, TITLE]</w:t>
      </w:r>
      <w:r>
        <w:t xml:space="preserve"> </w:t>
      </w:r>
      <w:r>
        <w:t xml:space="preserve">Findings: [NUMBER] undocumented flows identified / [NUMBER] remediated /</w:t>
      </w:r>
      <w:r>
        <w:t xml:space="preserve"> </w:t>
      </w:r>
      <w:r>
        <w:t xml:space="preserve">[NUMBER] accepted with documented justification</w:t>
      </w:r>
    </w:p>
    <w:p>
      <w:r>
        <w:pict>
          <v:rect style="width:0;height:1.5pt" o:hralign="center" o:hrstd="t" o:hr="t"/>
        </w:pict>
      </w:r>
    </w:p>
    <w:bookmarkEnd w:id="47"/>
    <w:bookmarkEnd w:id="48"/>
    <w:bookmarkStart w:id="53" w:name="fedramp-20x-ksi-alignment"/>
    <w:p>
      <w:pPr>
        <w:pStyle w:val="Heading1"/>
      </w:pPr>
      <w:r>
        <w:t xml:space="preserve">9. FedRAMP 20x KSI Alignment</w:t>
      </w:r>
    </w:p>
    <w:bookmarkStart w:id="49" w:name="pt-control-closure-summary"/>
    <w:p>
      <w:pPr>
        <w:pStyle w:val="Heading2"/>
      </w:pPr>
      <w:r>
        <w:t xml:space="preserve">9.1 PT Control Closure Summary</w:t>
      </w:r>
    </w:p>
    <w:p>
      <w:pPr>
        <w:pStyle w:val="FirstParagraph"/>
      </w:pPr>
      <w:r>
        <w:t xml:space="preserve">The templates in this document, when completed, close the following NIST SP</w:t>
      </w:r>
      <w:r>
        <w:t xml:space="preserve"> </w:t>
      </w:r>
      <w:r>
        <w:t xml:space="preserve">800-53 Rev 5 PII Processing and Transparency (PT) controls for a GCC Moderate</w:t>
      </w:r>
      <w:r>
        <w:t xml:space="preserve"> </w:t>
      </w:r>
      <w:r>
        <w:t xml:space="preserve">authorization (pending registration in the compliance spine):</w:t>
      </w:r>
    </w:p>
    <w:tbl>
      <w:tblPr>
        <w:tblStyle w:val="Table"/>
        <w:tblW w:type="pct" w:w="5000"/>
        <w:tblLayout w:type="fixed"/>
        <w:tblLook w:firstRow="1" w:lastRow="0" w:firstColumn="0" w:lastColumn="0" w:noHBand="0" w:noVBand="0" w:val="0020"/>
      </w:tblPr>
      <w:tblGrid>
        <w:gridCol w:w="1425"/>
        <w:gridCol w:w="1108"/>
        <w:gridCol w:w="2692"/>
        <w:gridCol w:w="2692"/>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Artifact</w:t>
            </w:r>
          </w:p>
        </w:tc>
        <w:tc>
          <w:tcPr/>
          <w:p>
            <w:pPr>
              <w:pStyle w:val="Compact"/>
            </w:pPr>
            <w:r>
              <w:t xml:space="preserve">Document Section</w:t>
            </w:r>
          </w:p>
        </w:tc>
      </w:tr>
      <w:tr>
        <w:tc>
          <w:tcPr/>
          <w:p>
            <w:pPr>
              <w:pStyle w:val="Compact"/>
            </w:pPr>
            <w:r>
              <w:t xml:space="preserve">PT-1</w:t>
            </w:r>
          </w:p>
        </w:tc>
        <w:tc>
          <w:tcPr/>
          <w:p>
            <w:pPr>
              <w:pStyle w:val="Compact"/>
            </w:pPr>
            <w:r>
              <w:t xml:space="preserve">Policy and Procedures</w:t>
            </w:r>
          </w:p>
        </w:tc>
        <w:tc>
          <w:tcPr/>
          <w:p>
            <w:pPr>
              <w:pStyle w:val="Compact"/>
            </w:pPr>
            <w:r>
              <w:t xml:space="preserve">Privacy Program Plan (PPP)</w:t>
            </w:r>
          </w:p>
        </w:tc>
        <w:tc>
          <w:tcPr/>
          <w:p>
            <w:pPr>
              <w:pStyle w:val="Compact"/>
            </w:pPr>
            <w:r>
              <w:t xml:space="preserve">§2</w:t>
            </w:r>
          </w:p>
        </w:tc>
      </w:tr>
      <w:tr>
        <w:tc>
          <w:tcPr/>
          <w:p>
            <w:pPr>
              <w:pStyle w:val="Compact"/>
            </w:pPr>
            <w:r>
              <w:t xml:space="preserve">PT-2</w:t>
            </w:r>
          </w:p>
        </w:tc>
        <w:tc>
          <w:tcPr/>
          <w:p>
            <w:pPr>
              <w:pStyle w:val="Compact"/>
            </w:pPr>
            <w:r>
              <w:t xml:space="preserve">Authority to Process PII</w:t>
            </w:r>
          </w:p>
        </w:tc>
        <w:tc>
          <w:tcPr/>
          <w:p>
            <w:pPr>
              <w:pStyle w:val="Compact"/>
            </w:pPr>
            <w:r>
              <w:t xml:space="preserve">Legal Authority Matrix + SORN Registry</w:t>
            </w:r>
          </w:p>
        </w:tc>
        <w:tc>
          <w:tcPr/>
          <w:p>
            <w:pPr>
              <w:pStyle w:val="Compact"/>
            </w:pPr>
            <w:r>
              <w:t xml:space="preserve">§3</w:t>
            </w:r>
          </w:p>
        </w:tc>
      </w:tr>
      <w:tr>
        <w:tc>
          <w:tcPr/>
          <w:p>
            <w:pPr>
              <w:pStyle w:val="Compact"/>
            </w:pPr>
            <w:r>
              <w:t xml:space="preserve">PT-3</w:t>
            </w:r>
          </w:p>
        </w:tc>
        <w:tc>
          <w:tcPr/>
          <w:p>
            <w:pPr>
              <w:pStyle w:val="Compact"/>
            </w:pPr>
            <w:r>
              <w:t xml:space="preserve">Personally Identifiable Information Processing Purposes</w:t>
            </w:r>
          </w:p>
        </w:tc>
        <w:tc>
          <w:tcPr/>
          <w:p>
            <w:pPr>
              <w:pStyle w:val="Compact"/>
            </w:pPr>
            <w:r>
              <w:t xml:space="preserve">Purpose Specification Matrix + Purview Attribute Mapping</w:t>
            </w:r>
          </w:p>
        </w:tc>
        <w:tc>
          <w:tcPr/>
          <w:p>
            <w:pPr>
              <w:pStyle w:val="Compact"/>
            </w:pPr>
            <w:r>
              <w:t xml:space="preserve">§4</w:t>
            </w:r>
          </w:p>
        </w:tc>
      </w:tr>
      <w:tr>
        <w:tc>
          <w:tcPr/>
          <w:p>
            <w:pPr>
              <w:pStyle w:val="Compact"/>
            </w:pPr>
            <w:r>
              <w:t xml:space="preserve">PT-4</w:t>
            </w:r>
          </w:p>
        </w:tc>
        <w:tc>
          <w:tcPr/>
          <w:p>
            <w:pPr>
              <w:pStyle w:val="Compact"/>
            </w:pPr>
            <w:r>
              <w:t xml:space="preserve">Consent</w:t>
            </w:r>
          </w:p>
        </w:tc>
        <w:tc>
          <w:tcPr/>
          <w:p>
            <w:pPr>
              <w:pStyle w:val="Compact"/>
            </w:pPr>
            <w:r>
              <w:t xml:space="preserve">Consent Mechanism Matrix</w:t>
            </w:r>
          </w:p>
        </w:tc>
        <w:tc>
          <w:tcPr/>
          <w:p>
            <w:pPr>
              <w:pStyle w:val="Compact"/>
            </w:pPr>
            <w:r>
              <w:t xml:space="preserve">§5</w:t>
            </w:r>
          </w:p>
        </w:tc>
      </w:tr>
      <w:tr>
        <w:tc>
          <w:tcPr/>
          <w:p>
            <w:pPr>
              <w:pStyle w:val="Compact"/>
            </w:pPr>
            <w:r>
              <w:t xml:space="preserve">PT-5</w:t>
            </w:r>
          </w:p>
        </w:tc>
        <w:tc>
          <w:tcPr/>
          <w:p>
            <w:pPr>
              <w:pStyle w:val="Compact"/>
            </w:pPr>
            <w:r>
              <w:t xml:space="preserve">Privacy Notice</w:t>
            </w:r>
          </w:p>
        </w:tc>
        <w:tc>
          <w:tcPr/>
          <w:p>
            <w:pPr>
              <w:pStyle w:val="Compact"/>
            </w:pPr>
            <w:r>
              <w:t xml:space="preserve">Model Privacy Notice + Placement Requirements</w:t>
            </w:r>
          </w:p>
        </w:tc>
        <w:tc>
          <w:tcPr/>
          <w:p>
            <w:pPr>
              <w:pStyle w:val="Compact"/>
            </w:pPr>
            <w:r>
              <w:t xml:space="preserve">§6</w:t>
            </w:r>
          </w:p>
        </w:tc>
      </w:tr>
      <w:tr>
        <w:tc>
          <w:tcPr/>
          <w:p>
            <w:pPr>
              <w:pStyle w:val="Compact"/>
            </w:pPr>
            <w:r>
              <w:t xml:space="preserve">PT-7</w:t>
            </w:r>
          </w:p>
        </w:tc>
        <w:tc>
          <w:tcPr/>
          <w:p>
            <w:pPr>
              <w:pStyle w:val="Compact"/>
            </w:pPr>
            <w:r>
              <w:t xml:space="preserve">Specific Categories of PII</w:t>
            </w:r>
          </w:p>
        </w:tc>
        <w:tc>
          <w:tcPr/>
          <w:p>
            <w:pPr>
              <w:pStyle w:val="Compact"/>
            </w:pPr>
            <w:r>
              <w:t xml:space="preserve">Special Category Control Matrix + SSN Policy</w:t>
            </w:r>
          </w:p>
        </w:tc>
        <w:tc>
          <w:tcPr/>
          <w:p>
            <w:pPr>
              <w:pStyle w:val="Compact"/>
            </w:pPr>
            <w:r>
              <w:t xml:space="preserve">§7</w:t>
            </w:r>
          </w:p>
        </w:tc>
      </w:tr>
    </w:tbl>
    <w:p>
      <w:pPr>
        <w:pStyle w:val="BlockText"/>
      </w:pPr>
      <w:r>
        <w:rPr>
          <w:b/>
          <w:bCs/>
        </w:rPr>
        <w:t xml:space="preserve">Closure Necessity — PT family.</w:t>
      </w:r>
      <w:r>
        <w:t xml:space="preserve"> </w:t>
      </w:r>
      <w:r>
        <w:t xml:space="preserve">These six controls close through privacy</w:t>
      </w:r>
      <w:r>
        <w:t xml:space="preserve"> </w:t>
      </w:r>
      <w:r>
        <w:t xml:space="preserve">artifacts — the Privacy Program Plan, the legal-authority matrix, published</w:t>
      </w:r>
      <w:r>
        <w:t xml:space="preserve"> </w:t>
      </w:r>
      <w:r>
        <w:t xml:space="preserve">SORNs, the PIA, and the data flow maps — not through the network substrate.</w:t>
      </w:r>
      <w:r>
        <w:t xml:space="preserve"> </w:t>
      </w:r>
      <w:r>
        <w:t xml:space="preserve">Purview labeling and DLP (Vol III Book 05)</w:t>
      </w:r>
      <w:r>
        <w:t xml:space="preserve"> </w:t>
      </w:r>
      <w:r>
        <w:rPr>
          <w:i/>
          <w:iCs/>
        </w:rPr>
        <w:t xml:space="preserve">enforce</w:t>
      </w:r>
      <w:r>
        <w:t xml:space="preserve"> </w:t>
      </w:r>
      <w:r>
        <w:t xml:space="preserve">the purposes and categories those</w:t>
      </w:r>
      <w:r>
        <w:t xml:space="preserve"> </w:t>
      </w:r>
      <w:r>
        <w:t xml:space="preserve">artifacts define, but no classifier, resolver, or enforcement point can supply</w:t>
      </w:r>
      <w:r>
        <w:t xml:space="preserve"> </w:t>
      </w:r>
      <w:r>
        <w:t xml:space="preserve">the statutory authority or the published notice the Privacy Act requires. The</w:t>
      </w:r>
      <w:r>
        <w:t xml:space="preserve"> </w:t>
      </w:r>
      <w:r>
        <w:t xml:space="preserve">series claims a technology as required only where no alternate closure path</w:t>
      </w:r>
      <w:r>
        <w:t xml:space="preserve"> </w:t>
      </w:r>
      <w:r>
        <w:t xml:space="preserve">exists; privacy transparency is closed by documentation, and saying so is what</w:t>
      </w:r>
      <w:r>
        <w:t xml:space="preserve"> </w:t>
      </w:r>
      <w:r>
        <w:t xml:space="preserve">preserves the credibility of the necessity claims made elsewhere in the</w:t>
      </w:r>
      <w:r>
        <w:t xml:space="preserve"> </w:t>
      </w:r>
      <w:r>
        <w:t xml:space="preserve">series.</w:t>
      </w:r>
    </w:p>
    <w:bookmarkEnd w:id="49"/>
    <w:bookmarkStart w:id="50" w:name="ksi-indirect-coverage"/>
    <w:p>
      <w:pPr>
        <w:pStyle w:val="Heading2"/>
      </w:pPr>
      <w:r>
        <w:t xml:space="preserve">9.2 KSI Indirect Coverage</w:t>
      </w:r>
    </w:p>
    <w:p>
      <w:pPr>
        <w:pStyle w:val="FirstParagraph"/>
      </w:pPr>
      <w:r>
        <w:t xml:space="preserve">PT controls do not yet have direct mappings to the FedRAMP 20x CR26 Key</w:t>
      </w:r>
      <w:r>
        <w:t xml:space="preserve"> </w:t>
      </w:r>
      <w:r>
        <w:t xml:space="preserve">Security Indicator rules. However, PT controls contribute to the</w:t>
      </w:r>
      <w:r>
        <w:t xml:space="preserve"> </w:t>
      </w:r>
      <w:r>
        <w:rPr>
          <w:b/>
          <w:bCs/>
        </w:rPr>
        <w:t xml:space="preserve">KSI-PIY (Policy and Inventory)</w:t>
      </w:r>
      <w:r>
        <w:t xml:space="preserve"> </w:t>
      </w:r>
      <w:r>
        <w:t xml:space="preserve">theme — the agency’s policy governance and asset/data inventory — through its</w:t>
      </w:r>
      <w:r>
        <w:t xml:space="preserve"> </w:t>
      </w:r>
      <w:r>
        <w:t xml:space="preserve">privacy policies and PII data inventory. (CR26 has no privacy-specific theme;</w:t>
      </w:r>
      <w:r>
        <w:t xml:space="preserve"> </w:t>
      </w:r>
      <w:r>
        <w:t xml:space="preserve">KSI-PIY is a general policy-and-inventory indicator, not a PII-holdings</w:t>
      </w:r>
      <w:r>
        <w:t xml:space="preserve"> </w:t>
      </w:r>
      <w:r>
        <w:t xml:space="preserve">measure.) The following indirect connections apply:</w:t>
      </w:r>
    </w:p>
    <w:tbl>
      <w:tblPr>
        <w:tblStyle w:val="Table"/>
        <w:tblW w:type="pct" w:w="5000"/>
        <w:tblLayout w:type="fixed"/>
        <w:tblLook w:firstRow="1" w:lastRow="0" w:firstColumn="0" w:lastColumn="0" w:noHBand="0" w:noVBand="0" w:val="0020"/>
      </w:tblPr>
      <w:tblGrid>
        <w:gridCol w:w="1980"/>
        <w:gridCol w:w="3960"/>
        <w:gridCol w:w="1980"/>
      </w:tblGrid>
      <w:tr>
        <w:trPr>
          <w:tblHeader w:val="on"/>
        </w:trPr>
        <w:tc>
          <w:tcPr/>
          <w:p>
            <w:pPr>
              <w:pStyle w:val="Compact"/>
            </w:pPr>
            <w:r>
              <w:t xml:space="preserve">KSI Theme</w:t>
            </w:r>
          </w:p>
        </w:tc>
        <w:tc>
          <w:tcPr/>
          <w:p>
            <w:pPr>
              <w:pStyle w:val="Compact"/>
            </w:pPr>
            <w:r>
              <w:t xml:space="preserve">Indirect PT Dependency</w:t>
            </w:r>
          </w:p>
        </w:tc>
        <w:tc>
          <w:tcPr/>
          <w:p>
            <w:pPr>
              <w:pStyle w:val="Compact"/>
            </w:pPr>
            <w:r>
              <w:t xml:space="preserve">Mechanism</w:t>
            </w:r>
          </w:p>
        </w:tc>
      </w:tr>
      <w:tr>
        <w:tc>
          <w:tcPr/>
          <w:p>
            <w:pPr>
              <w:pStyle w:val="Compact"/>
            </w:pPr>
            <w:r>
              <w:t xml:space="preserve">KSI-PIY (Policy and Inventory)</w:t>
            </w:r>
          </w:p>
        </w:tc>
        <w:tc>
          <w:tcPr/>
          <w:p>
            <w:pPr>
              <w:pStyle w:val="Compact"/>
            </w:pPr>
            <w:r>
              <w:t xml:space="preserve">PT-2, PT-3, PT-7</w:t>
            </w:r>
          </w:p>
        </w:tc>
        <w:tc>
          <w:tcPr/>
          <w:p>
            <w:pPr>
              <w:pStyle w:val="Compact"/>
            </w:pPr>
            <w:r>
              <w:t xml:space="preserve">Purview data inventory populated through PT-3 purpose mapping and PT-7 special category labeling</w:t>
            </w:r>
          </w:p>
        </w:tc>
      </w:tr>
      <w:tr>
        <w:tc>
          <w:tcPr/>
          <w:p>
            <w:pPr>
              <w:pStyle w:val="Compact"/>
            </w:pPr>
            <w:r>
              <w:t xml:space="preserve">KSI-SVC (Service Configuration)</w:t>
            </w:r>
          </w:p>
        </w:tc>
        <w:tc>
          <w:tcPr/>
          <w:p>
            <w:pPr>
              <w:pStyle w:val="Compact"/>
            </w:pPr>
            <w:r>
              <w:t xml:space="preserve">PT-7</w:t>
            </w:r>
          </w:p>
        </w:tc>
        <w:tc>
          <w:tcPr/>
          <w:p>
            <w:pPr>
              <w:pStyle w:val="Compact"/>
            </w:pPr>
            <w:r>
              <w:t xml:space="preserve">Special category encryption and access-control requirements feed data-protection KSI evidence</w:t>
            </w:r>
          </w:p>
        </w:tc>
      </w:tr>
      <w:tr>
        <w:tc>
          <w:tcPr/>
          <w:p>
            <w:pPr>
              <w:pStyle w:val="Compact"/>
            </w:pPr>
            <w:r>
              <w:t xml:space="preserve">KSI-IAM (Identity and Access Management)</w:t>
            </w:r>
          </w:p>
        </w:tc>
        <w:tc>
          <w:tcPr/>
          <w:p>
            <w:pPr>
              <w:pStyle w:val="Compact"/>
            </w:pPr>
            <w:r>
              <w:t xml:space="preserve">PT-4</w:t>
            </w:r>
          </w:p>
        </w:tc>
        <w:tc>
          <w:tcPr/>
          <w:p>
            <w:pPr>
              <w:pStyle w:val="Compact"/>
            </w:pPr>
            <w:r>
              <w:t xml:space="preserve">Consent records linked to identity; withdrawal workflows touch IAM</w:t>
            </w:r>
          </w:p>
        </w:tc>
      </w:tr>
      <w:tr>
        <w:tc>
          <w:tcPr/>
          <w:p>
            <w:pPr>
              <w:pStyle w:val="Compact"/>
            </w:pPr>
            <w:r>
              <w:t xml:space="preserve">KSI-MLA (Monitoring, Logging, and Auditing)</w:t>
            </w:r>
          </w:p>
        </w:tc>
        <w:tc>
          <w:tcPr/>
          <w:p>
            <w:pPr>
              <w:pStyle w:val="Compact"/>
            </w:pPr>
            <w:r>
              <w:t xml:space="preserve">PT-1</w:t>
            </w:r>
          </w:p>
        </w:tc>
        <w:tc>
          <w:tcPr/>
          <w:p>
            <w:pPr>
              <w:pStyle w:val="Compact"/>
            </w:pPr>
            <w:r>
              <w:t xml:space="preserve">Privacy oversight cadence integrates with the ConMon plan</w:t>
            </w:r>
          </w:p>
        </w:tc>
      </w:tr>
    </w:tbl>
    <w:p>
      <w:pPr>
        <w:pStyle w:val="BlockText"/>
      </w:pPr>
      <w:r>
        <w:rPr>
          <w:b/>
          <w:bCs/>
        </w:rPr>
        <w:t xml:space="preserve">Note for Package Reviewers:</w:t>
      </w:r>
      <w:r>
        <w:t xml:space="preserve"> </w:t>
      </w:r>
      <w:r>
        <w:t xml:space="preserve">Until FedRAMP PMO publishes explicit</w:t>
      </w:r>
      <w:r>
        <w:t xml:space="preserve"> </w:t>
      </w:r>
      <w:r>
        <w:t xml:space="preserve">PT → KSI mappings for the 20x schema, document PT control evidence in the</w:t>
      </w:r>
      <w:r>
        <w:t xml:space="preserve"> </w:t>
      </w:r>
      <w:r>
        <w:t xml:space="preserve">SSP privacy section and reference this document’s section numbers. The</w:t>
      </w:r>
      <w:r>
        <w:t xml:space="preserve"> </w:t>
      </w:r>
      <w:r>
        <w:t xml:space="preserve">independent privacy assessment report (3PAO-produced if one is engaged)</w:t>
      </w:r>
      <w:r>
        <w:t xml:space="preserve"> </w:t>
      </w:r>
      <w:r>
        <w:t xml:space="preserve">should include PT-1 through PT-7 findings as a distinct section,</w:t>
      </w:r>
      <w:r>
        <w:t xml:space="preserve"> </w:t>
      </w:r>
      <w:r>
        <w:t xml:space="preserve">cross-referenced to the security assessment report.</w:t>
      </w:r>
    </w:p>
    <w:bookmarkEnd w:id="50"/>
    <w:bookmarkStart w:id="52" w:name="compliance-milestones"/>
    <w:p>
      <w:pPr>
        <w:pStyle w:val="Heading2"/>
      </w:pPr>
      <w:r>
        <w:t xml:space="preserve">9.3 Compliance Milestones</w:t>
      </w:r>
    </w:p>
    <w:p>
      <w:pPr>
        <w:pStyle w:val="FirstParagraph"/>
      </w:pPr>
      <w:r>
        <w:t xml:space="preserve">The following milestones are required before a PII-processing system may go live</w:t>
      </w:r>
      <w:r>
        <w:t xml:space="preserve"> </w:t>
      </w:r>
      <w:r>
        <w:t xml:space="preserve">in the Agency GCC Moderate boundary:</w:t>
      </w:r>
    </w:p>
    <w:tbl>
      <w:tblPr>
        <w:tblStyle w:val="Table"/>
        <w:tblW w:type="pct" w:w="5000"/>
        <w:tblLayout w:type="fixed"/>
        <w:tblLook w:firstRow="1" w:lastRow="0" w:firstColumn="0" w:lastColumn="0" w:noHBand="0" w:noVBand="0" w:val="0020"/>
      </w:tblPr>
      <w:tblGrid>
        <w:gridCol w:w="2292"/>
        <w:gridCol w:w="2501"/>
        <w:gridCol w:w="1667"/>
        <w:gridCol w:w="1458"/>
      </w:tblGrid>
      <w:tr>
        <w:trPr>
          <w:tblHeader w:val="on"/>
        </w:trPr>
        <w:tc>
          <w:tcPr/>
          <w:p>
            <w:pPr>
              <w:pStyle w:val="Compact"/>
            </w:pPr>
            <w:r>
              <w:t xml:space="preserve">Milestone</w:t>
            </w:r>
          </w:p>
        </w:tc>
        <w:tc>
          <w:tcPr/>
          <w:p>
            <w:pPr>
              <w:pStyle w:val="Compact"/>
            </w:pPr>
            <w:r>
              <w:t xml:space="preserve">Requirement</w:t>
            </w:r>
          </w:p>
        </w:tc>
        <w:tc>
          <w:tcPr/>
          <w:p>
            <w:pPr>
              <w:pStyle w:val="Compact"/>
            </w:pPr>
            <w:r>
              <w:t xml:space="preserve">Timing</w:t>
            </w:r>
          </w:p>
        </w:tc>
        <w:tc>
          <w:tcPr/>
          <w:p>
            <w:pPr>
              <w:pStyle w:val="Compact"/>
            </w:pPr>
            <w:r>
              <w:t xml:space="preserve">Owner</w:t>
            </w:r>
          </w:p>
        </w:tc>
      </w:tr>
      <w:tr>
        <w:tc>
          <w:tcPr/>
          <w:p>
            <w:pPr>
              <w:pStyle w:val="Compact"/>
            </w:pPr>
            <w:r>
              <w:t xml:space="preserve">Privacy Threshold Analysis (PTA)</w:t>
            </w:r>
          </w:p>
        </w:tc>
        <w:tc>
          <w:tcPr/>
          <w:p>
            <w:pPr>
              <w:pStyle w:val="Compact"/>
            </w:pPr>
            <w:r>
              <w:t xml:space="preserve">Determine whether system is a system of records; whether a PIA is required</w:t>
            </w:r>
          </w:p>
        </w:tc>
        <w:tc>
          <w:tcPr/>
          <w:p>
            <w:pPr>
              <w:pStyle w:val="Compact"/>
            </w:pPr>
            <w:r>
              <w:t xml:space="preserve">At system concept approval</w:t>
            </w:r>
          </w:p>
        </w:tc>
        <w:tc>
          <w:tcPr/>
          <w:p>
            <w:pPr>
              <w:pStyle w:val="Compact"/>
            </w:pPr>
            <w:r>
              <w:t xml:space="preserve">SPO</w:t>
            </w:r>
          </w:p>
        </w:tc>
      </w:tr>
      <w:tr>
        <w:tc>
          <w:tcPr/>
          <w:p>
            <w:pPr>
              <w:pStyle w:val="Compact"/>
            </w:pPr>
            <w:r>
              <w:t xml:space="preserve">Privacy Impact Assessment (PIA)</w:t>
            </w:r>
          </w:p>
        </w:tc>
        <w:tc>
          <w:tcPr/>
          <w:p>
            <w:pPr>
              <w:pStyle w:val="Compact"/>
            </w:pPr>
            <w:r>
              <w:t xml:space="preserve">Full PIA if PTA indicates privacy risk</w:t>
            </w:r>
          </w:p>
        </w:tc>
        <w:tc>
          <w:tcPr/>
          <w:p>
            <w:pPr>
              <w:pStyle w:val="Compact"/>
            </w:pPr>
            <w:r>
              <w:t xml:space="preserve">Before system design is finalized; updated before go-live</w:t>
            </w:r>
          </w:p>
        </w:tc>
        <w:tc>
          <w:tcPr/>
          <w:p>
            <w:pPr>
              <w:pStyle w:val="Compact"/>
            </w:pPr>
            <w:r>
              <w:t xml:space="preserve">SAOP + SPO</w:t>
            </w:r>
          </w:p>
        </w:tc>
      </w:tr>
      <w:tr>
        <w:tc>
          <w:tcPr/>
          <w:p>
            <w:pPr>
              <w:pStyle w:val="Compact"/>
            </w:pPr>
            <w:r>
              <w:t xml:space="preserve">SORN Publication</w:t>
            </w:r>
          </w:p>
        </w:tc>
        <w:tc>
          <w:tcPr/>
          <w:p>
            <w:pPr>
              <w:pStyle w:val="Compact"/>
            </w:pPr>
            <w:r>
              <w:t xml:space="preserve">Required for all Privacy Act systems of records</w:t>
            </w:r>
          </w:p>
        </w:tc>
        <w:tc>
          <w:tcPr/>
          <w:p>
            <w:pPr>
              <w:pStyle w:val="Compact"/>
            </w:pPr>
            <w:r>
              <w:t xml:space="preserve">Published in Federal Register at least</w:t>
            </w:r>
            <w:r>
              <w:t xml:space="preserve"> </w:t>
            </w:r>
            <w:r>
              <w:rPr>
                <w:b/>
                <w:bCs/>
              </w:rPr>
              <w:t xml:space="preserve">30 days before</w:t>
            </w:r>
            <w:r>
              <w:t xml:space="preserve"> </w:t>
            </w:r>
            <w:r>
              <w:t xml:space="preserve">live PII collection</w:t>
            </w:r>
          </w:p>
        </w:tc>
        <w:tc>
          <w:tcPr/>
          <w:p>
            <w:pPr>
              <w:pStyle w:val="Compact"/>
            </w:pPr>
            <w:r>
              <w:t xml:space="preserve">Legal + SAOP</w:t>
            </w:r>
          </w:p>
        </w:tc>
      </w:tr>
      <w:tr>
        <w:tc>
          <w:tcPr/>
          <w:p>
            <w:pPr>
              <w:pStyle w:val="Compact"/>
            </w:pPr>
            <w:r>
              <w:t xml:space="preserve">PT-1 Privacy Program Plan</w:t>
            </w:r>
          </w:p>
        </w:tc>
        <w:tc>
          <w:tcPr/>
          <w:p>
            <w:pPr>
              <w:pStyle w:val="Compact"/>
            </w:pPr>
            <w:r>
              <w:t xml:space="preserve">Approved by SAOP and AO</w:t>
            </w:r>
          </w:p>
        </w:tc>
        <w:tc>
          <w:tcPr/>
          <w:p>
            <w:pPr>
              <w:pStyle w:val="Compact"/>
            </w:pPr>
            <w:r>
              <w:t xml:space="preserve">Before ATO submission</w:t>
            </w:r>
          </w:p>
        </w:tc>
        <w:tc>
          <w:tcPr/>
          <w:p>
            <w:pPr>
              <w:pStyle w:val="Compact"/>
            </w:pPr>
            <w:r>
              <w:t xml:space="preserve">SAOP</w:t>
            </w:r>
          </w:p>
        </w:tc>
      </w:tr>
      <w:tr>
        <w:tc>
          <w:tcPr/>
          <w:p>
            <w:pPr>
              <w:pStyle w:val="Compact"/>
            </w:pPr>
            <w:r>
              <w:t xml:space="preserve">PT-2 Legal Authority Matrix</w:t>
            </w:r>
          </w:p>
        </w:tc>
        <w:tc>
          <w:tcPr/>
          <w:p>
            <w:pPr>
              <w:pStyle w:val="Compact"/>
            </w:pPr>
            <w:r>
              <w:t xml:space="preserve">Completed for all PII categories</w:t>
            </w:r>
          </w:p>
        </w:tc>
        <w:tc>
          <w:tcPr/>
          <w:p>
            <w:pPr>
              <w:pStyle w:val="Compact"/>
            </w:pPr>
            <w:r>
              <w:t xml:space="preserve">Before ATO submission</w:t>
            </w:r>
          </w:p>
        </w:tc>
        <w:tc>
          <w:tcPr/>
          <w:p>
            <w:pPr>
              <w:pStyle w:val="Compact"/>
            </w:pPr>
            <w:r>
              <w:t xml:space="preserve">SPO + Legal</w:t>
            </w:r>
          </w:p>
        </w:tc>
      </w:tr>
      <w:tr>
        <w:tc>
          <w:tcPr/>
          <w:p>
            <w:pPr>
              <w:pStyle w:val="Compact"/>
            </w:pPr>
            <w:r>
              <w:t xml:space="preserve">PT-3 Purpose Specification</w:t>
            </w:r>
          </w:p>
        </w:tc>
        <w:tc>
          <w:tcPr/>
          <w:p>
            <w:pPr>
              <w:pStyle w:val="Compact"/>
            </w:pPr>
            <w:r>
              <w:t xml:space="preserve">Completed and Purview attributes configured</w:t>
            </w:r>
          </w:p>
        </w:tc>
        <w:tc>
          <w:tcPr/>
          <w:p>
            <w:pPr>
              <w:pStyle w:val="Compact"/>
            </w:pPr>
            <w:r>
              <w:t xml:space="preserve">Before ATO submission</w:t>
            </w:r>
          </w:p>
        </w:tc>
        <w:tc>
          <w:tcPr/>
          <w:p>
            <w:pPr>
              <w:pStyle w:val="Compact"/>
            </w:pPr>
            <w:r>
              <w:t xml:space="preserve">SPO + DevSecOps</w:t>
            </w:r>
          </w:p>
        </w:tc>
      </w:tr>
      <w:tr>
        <w:tc>
          <w:tcPr/>
          <w:p>
            <w:pPr>
              <w:pStyle w:val="Compact"/>
            </w:pPr>
            <w:r>
              <w:t xml:space="preserve">PT-5 Privacy Notice</w:t>
            </w:r>
          </w:p>
        </w:tc>
        <w:tc>
          <w:tcPr/>
          <w:p>
            <w:pPr>
              <w:pStyle w:val="Compact"/>
            </w:pPr>
            <w:r>
              <w:t xml:space="preserve">Published at stable URL; URL recorded in SSP</w:t>
            </w:r>
          </w:p>
        </w:tc>
        <w:tc>
          <w:tcPr/>
          <w:p>
            <w:pPr>
              <w:pStyle w:val="Compact"/>
            </w:pPr>
            <w:r>
              <w:t xml:space="preserve">Before go-live; at least 30 days before live PII collection</w:t>
            </w:r>
          </w:p>
        </w:tc>
        <w:tc>
          <w:tcPr/>
          <w:p>
            <w:pPr>
              <w:pStyle w:val="Compact"/>
            </w:pPr>
            <w:r>
              <w:t xml:space="preserve">Web team + SAOP</w:t>
            </w:r>
          </w:p>
        </w:tc>
      </w:tr>
      <w:tr>
        <w:tc>
          <w:tcPr/>
          <w:p>
            <w:pPr>
              <w:pStyle w:val="Compact"/>
            </w:pPr>
            <w:r>
              <w:t xml:space="preserve">Data Flow Map (§8)</w:t>
            </w:r>
          </w:p>
        </w:tc>
        <w:tc>
          <w:tcPr/>
          <w:p>
            <w:pPr>
              <w:pStyle w:val="Compact"/>
            </w:pPr>
            <w:r>
              <w:t xml:space="preserve">All four required scenarios documented</w:t>
            </w:r>
          </w:p>
        </w:tc>
        <w:tc>
          <w:tcPr/>
          <w:p>
            <w:pPr>
              <w:pStyle w:val="Compact"/>
            </w:pPr>
            <w:r>
              <w:t xml:space="preserve">Before the AO’s authorization decision</w:t>
            </w:r>
          </w:p>
        </w:tc>
        <w:tc>
          <w:tcPr/>
          <w:p>
            <w:pPr>
              <w:pStyle w:val="Compact"/>
            </w:pPr>
            <w:r>
              <w:t xml:space="preserve">DevSecOps + SPO</w:t>
            </w:r>
          </w:p>
        </w:tc>
      </w:tr>
      <w:tr>
        <w:tc>
          <w:tcPr/>
          <w:p>
            <w:pPr>
              <w:pStyle w:val="Compact"/>
            </w:pPr>
            <w:r>
              <w:t xml:space="preserve">First Annual Privacy Review</w:t>
            </w:r>
          </w:p>
        </w:tc>
        <w:tc>
          <w:tcPr/>
          <w:p>
            <w:pPr>
              <w:pStyle w:val="Compact"/>
            </w:pPr>
            <w:r>
              <w:t xml:space="preserve">Full review of all PT artifacts; independent assessment</w:t>
            </w:r>
          </w:p>
        </w:tc>
        <w:tc>
          <w:tcPr/>
          <w:p>
            <w:pPr>
              <w:pStyle w:val="Compact"/>
            </w:pPr>
            <w:r>
              <w:t xml:space="preserve">Within 365 days of ATO grant</w:t>
            </w:r>
          </w:p>
        </w:tc>
        <w:tc>
          <w:tcPr/>
          <w:p>
            <w:pPr>
              <w:pStyle w:val="Compact"/>
            </w:pPr>
            <w:r>
              <w:t xml:space="preserve">SAOP + independent assessor</w:t>
            </w:r>
          </w:p>
        </w:tc>
      </w:tr>
    </w:tbl>
    <w:p>
      <w:r>
        <w:pict>
          <v:rect style="width:0;height:1.5pt" o:hralign="center" o:hrstd="t" o:hr="t"/>
        </w:pict>
      </w:r>
    </w:p>
    <w:p>
      <w:pPr>
        <w:pStyle w:val="FirstParagraph"/>
      </w:pPr>
      <w:r>
        <w:rPr>
          <w:i/>
          <w:iCs/>
        </w:rPr>
        <w:t xml:space="preserve">End of Vol IV Book 04 — PII Processing and Transparency</w:t>
      </w:r>
    </w:p>
    <w:p>
      <w:pPr>
        <w:pStyle w:val="BodyText"/>
      </w:pPr>
      <w:r>
        <w:rPr>
          <w:i/>
          <w:iCs/>
        </w:rPr>
        <w:t xml:space="preserve">Previous:</w:t>
      </w:r>
      <w:r>
        <w:rPr>
          <w:i/>
          <w:iCs/>
        </w:rPr>
        <w:t xml:space="preserve"> </w:t>
      </w:r>
      <w:hyperlink r:id="rId51">
        <w:r>
          <w:rPr>
            <w:rStyle w:val="Hyperlink"/>
            <w:i/>
            <w:iCs/>
          </w:rPr>
          <w:t xml:space="preserve">Vol IV Book 03 — Program Management Governance</w:t>
        </w:r>
      </w:hyperlink>
    </w:p>
    <w:p>
      <w:pPr>
        <w:pStyle w:val="BodyText"/>
      </w:pPr>
      <w:r>
        <w:rPr>
          <w:i/>
          <w:iCs/>
        </w:rPr>
        <w:t xml:space="preserve">Series: Federal Compliance for Agency GCC Moderate FedRAMP 20x</w:t>
      </w:r>
    </w:p>
    <w:bookmarkEnd w:id="52"/>
    <w:bookmarkEnd w:id="5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
  </w:num>
  <w:num w:numId="1007">
    <w:abstractNumId w:val="992"/>
  </w:num>
  <w:num w:numId="1008">
    <w:abstractNumId w:val="992"/>
  </w:num>
  <w:num w:numId="1009">
    <w:abstractNumId w:val="992"/>
  </w:num>
  <w:num w:numId="1010">
    <w:abstractNumId w:val="992"/>
  </w:num>
  <w:num w:numId="1011">
    <w:abstractNumId w:val="992"/>
  </w:num>
  <w:num w:numId="1012">
    <w:abstractNumId w:val="992"/>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51" Target="Vol_IV_Book_03_Program_Management_Governance.md" TargetMode="External" /></Relationships>
</file>

<file path=word/_rels/footnotes.xml.rels><?xml version="1.0" encoding="UTF-8"?><Relationships xmlns="http://schemas.openxmlformats.org/package/2006/relationships"><Relationship Type="http://schemas.openxmlformats.org/officeDocument/2006/relationships/hyperlink" Id="rId51" Target="Vol_IV_Book_03_Program_Management_Governanc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 IV Book 04 — Federal Compliance — PII Processing and Transparency</dc:title>
  <dc:creator>Federal Cloud Services</dc:creator>
  <cp:keywords/>
  <dcterms:created xsi:type="dcterms:W3CDTF">2026-10-19T10:09:59Z</dcterms:created>
  <dcterms:modified xsi:type="dcterms:W3CDTF">2026-10-19T10:09:59Z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
  </property>
  <property fmtid="{D5CDD505-2E9C-101B-9397-08002B2CF9AE}" pid="3" name="aliases">
    <vt:lpwstr/>
  </property>
  <property fmtid="{D5CDD505-2E9C-101B-9397-08002B2CF9AE}" pid="4" name="authors">
    <vt:lpwstr/>
  </property>
  <property fmtid="{D5CDD505-2E9C-101B-9397-08002B2CF9AE}" pid="5" name="biblio-config">
    <vt:lpwstr>True</vt:lpwstr>
  </property>
  <property fmtid="{D5CDD505-2E9C-101B-9397-08002B2CF9AE}" pid="6" name="by-author">
    <vt:lpwstr/>
  </property>
  <property fmtid="{D5CDD505-2E9C-101B-9397-08002B2CF9AE}" pid="7" name="date">
    <vt:lpwstr>2026-07-08 20:07 ET</vt:lpwstr>
  </property>
  <property fmtid="{D5CDD505-2E9C-101B-9397-08002B2CF9AE}" pid="8" name="date-format">
    <vt:lpwstr>YYYY-MM-DD HH:mm [ET]</vt:lpwstr>
  </property>
  <property fmtid="{D5CDD505-2E9C-101B-9397-08002B2CF9AE}" pid="9" name="execute">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labels">
    <vt:lpwstr/>
  </property>
  <property fmtid="{D5CDD505-2E9C-101B-9397-08002B2CF9AE}" pid="14" name="out-width">
    <vt:lpwstr>100%</vt:lpwstr>
  </property>
  <property fmtid="{D5CDD505-2E9C-101B-9397-08002B2CF9AE}" pid="15" name="subtitle">
    <vt:lpwstr>PII Processing and Transparency: Privacy Program Templates for FedRAMP 20x GCC Moderate Authorization</vt:lpwstr>
  </property>
  <property fmtid="{D5CDD505-2E9C-101B-9397-08002B2CF9AE}" pid="16" name="toc-title">
    <vt:lpwstr>Table of contents</vt:lpwstr>
  </property>
</Properties>
</file>