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IV Book 05 — Federal Compliance — Cybersecurity Training &amp; Awareness</w:t>
      </w:r>
    </w:p>
    <w:p>
      <w:pPr>
        <w:pStyle w:val="Subtitle"/>
      </w:pPr>
      <w:r>
        <w:t xml:space="preserve">Cybersecurity Awareness and Training Program: AT Family, LMS Evidence Integration, and KSI-CED-RAT Activation for FedRAMP 20x</w:t>
      </w:r>
    </w:p>
    <w:p>
      <w:pPr>
        <w:pStyle w:val="Author"/>
      </w:pPr>
      <w:r>
        <w:t xml:space="preserve">Federal Cloud Services</w:t>
      </w:r>
    </w:p>
    <w:p>
      <w:pPr>
        <w:pStyle w:val="Date"/>
      </w:pPr>
      <w:r>
        <w:t xml:space="preserve">2026-07-20 00:10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2026-07-19 20:10 ET</w:t>
      </w:r>
    </w:p>
    <w:bookmarkEnd w:id="9"/>
    <w:p>
      <w:pPr>
        <w:pStyle w:val="BodyText"/>
      </w:pPr>
      <w:r>
        <w:rPr>
          <w:b/>
          <w:bCs/>
        </w:rPr>
        <w:t xml:space="preserve">Scope — control closure here; the academy in Volume V</w:t>
      </w:r>
      <w:r>
        <w:t xml:space="preserve"> </w:t>
      </w:r>
      <w:r>
        <w:t xml:space="preserve">— This book specifies the</w:t>
      </w:r>
      <w:r>
        <w:t xml:space="preserve"> </w:t>
      </w:r>
      <w:r>
        <w:rPr>
          <w:b/>
          <w:bCs/>
        </w:rPr>
        <w:t xml:space="preserve">AT-family training program and its control closure</w:t>
      </w:r>
      <w:r>
        <w:t xml:space="preserve"> </w:t>
      </w:r>
      <w:r>
        <w:t xml:space="preserve">(AT-2, AT-3, AT-4, CP-3, IR-2) and the shape of the KSI-CED training record. The full curriculum, labs, assessment rubrics, and certification are delivered by</w:t>
      </w:r>
      <w:r>
        <w:t xml:space="preserve"> </w:t>
      </w:r>
      <w:r>
        <w:rPr>
          <w:b/>
          <w:bCs/>
        </w:rPr>
        <w:t xml:space="preserve">Volume V — Training &amp; Certification</w:t>
      </w:r>
      <w:r>
        <w:t xml:space="preserve"> </w:t>
      </w:r>
      <w:r>
        <w:t xml:space="preserve">(</w:t>
      </w:r>
      <w:r>
        <w:rPr>
          <w:rStyle w:val="VerbatimChar"/>
        </w:rPr>
        <w:t xml:space="preserve">Vol_V_Book_00_Compliance_Training_Certification_Overview.qmd</w:t>
      </w:r>
      <w:r>
        <w:t xml:space="preserve">), which operationalizes this program and produces the</w:t>
      </w:r>
      <w:r>
        <w:t xml:space="preserve"> </w:t>
      </w:r>
      <w:r>
        <w:rPr>
          <w:rStyle w:val="VerbatimChar"/>
        </w:rPr>
        <w:t xml:space="preserve">training-effectiveness-record</w:t>
      </w:r>
      <w:r>
        <w:t xml:space="preserve"> </w:t>
      </w:r>
      <w:r>
        <w:t xml:space="preserve">that evidences the KSI-CED closure. This book remains the AT-family control-closure reference; Volume V is the enablement layer that teaches and certifies it. The two cross-reference rather than duplicate.</w:t>
      </w:r>
    </w:p>
    <w:bookmarkStart w:id="10" w:name="what-this-document-addresses"/>
    <w:p>
      <w:pPr>
        <w:pStyle w:val="Heading2"/>
      </w:pPr>
      <w:r>
        <w:t xml:space="preserve">0.2 What This Document Addresses</w:t>
      </w:r>
    </w:p>
    <w:p>
      <w:pPr>
        <w:pStyle w:val="FirstParagraph"/>
      </w:pPr>
      <w:r>
        <w:t xml:space="preserve">FedRAMP 20x authorization requires that a cybersecurity training program be</w:t>
      </w:r>
      <w:r>
        <w:t xml:space="preserve"> </w:t>
      </w:r>
      <w:r>
        <w:t xml:space="preserve">continuously demonstrable — not as a policy assertion, but as a</w:t>
      </w:r>
      <w:r>
        <w:t xml:space="preserve"> </w:t>
      </w:r>
      <w:r>
        <w:t xml:space="preserve">machine-readable record of completion across four distinct training</w:t>
      </w:r>
      <w:r>
        <w:t xml:space="preserve"> </w:t>
      </w:r>
      <w:r>
        <w:t xml:space="preserve">dimensions. This is the last remaining KSI that the series</w:t>
      </w:r>
      <w:r>
        <w:t xml:space="preserve"> </w:t>
      </w:r>
      <w:r>
        <w:t xml:space="preserve">cannot close through network, identity, or security architecture artifacts</w:t>
      </w:r>
      <w:r>
        <w:t xml:space="preserve"> </w:t>
      </w:r>
      <w:r>
        <w:t xml:space="preserve">alone: training requires a human participation record.</w:t>
      </w:r>
    </w:p>
    <w:p>
      <w:pPr>
        <w:pStyle w:val="BodyText"/>
      </w:pPr>
      <w:r>
        <w:t xml:space="preserve">This document provides:</w:t>
      </w:r>
    </w:p>
    <w:p>
      <w:pPr>
        <w:pStyle w:val="Compact"/>
        <w:numPr>
          <w:ilvl w:val="0"/>
          <w:numId w:val="1001"/>
        </w:numPr>
      </w:pPr>
      <w:r>
        <w:rPr>
          <w:b/>
          <w:bCs/>
        </w:rPr>
        <w:t xml:space="preserve">Training Program Architecture</w:t>
      </w:r>
      <w:r>
        <w:t xml:space="preserve"> </w:t>
      </w:r>
      <w:r>
        <w:t xml:space="preserve">— the four training dimensions this</w:t>
      </w:r>
      <w:r>
        <w:t xml:space="preserve"> </w:t>
      </w:r>
      <w:r>
        <w:t xml:space="preserve">program decomposes KSI-CED-RAT review into, mapped to AT-2, AT-3, AT-4,</w:t>
      </w:r>
      <w:r>
        <w:t xml:space="preserve"> </w:t>
      </w:r>
      <w:r>
        <w:t xml:space="preserve">CP-3, and IR-2</w:t>
      </w:r>
    </w:p>
    <w:p>
      <w:pPr>
        <w:pStyle w:val="Compact"/>
        <w:numPr>
          <w:ilvl w:val="0"/>
          <w:numId w:val="1001"/>
        </w:numPr>
      </w:pPr>
      <w:r>
        <w:rPr>
          <w:b/>
          <w:bCs/>
        </w:rPr>
        <w:t xml:space="preserve">General Security Awareness Training (AT-2)</w:t>
      </w:r>
      <w:r>
        <w:t xml:space="preserve"> </w:t>
      </w:r>
      <w:r>
        <w:t xml:space="preserve">— annual all-employee</w:t>
      </w:r>
      <w:r>
        <w:t xml:space="preserve"> </w:t>
      </w:r>
      <w:r>
        <w:t xml:space="preserve">program design, content requirements, and GCC Moderate delivery options</w:t>
      </w:r>
    </w:p>
    <w:p>
      <w:pPr>
        <w:pStyle w:val="Compact"/>
        <w:numPr>
          <w:ilvl w:val="0"/>
          <w:numId w:val="1001"/>
        </w:numPr>
      </w:pPr>
      <w:r>
        <w:rPr>
          <w:b/>
          <w:bCs/>
        </w:rPr>
        <w:t xml:space="preserve">Role-Based Training Program (AT-3)</w:t>
      </w:r>
      <w:r>
        <w:t xml:space="preserve"> </w:t>
      </w:r>
      <w:r>
        <w:t xml:space="preserve">— training matrices for six</w:t>
      </w:r>
      <w:r>
        <w:t xml:space="preserve"> </w:t>
      </w:r>
      <w:r>
        <w:t xml:space="preserve">high-risk role categories: system administrators, developers/engineers,</w:t>
      </w:r>
      <w:r>
        <w:t xml:space="preserve"> </w:t>
      </w:r>
      <w:r>
        <w:t xml:space="preserve">privileged access users, incident responders, data stewards, and</w:t>
      </w:r>
      <w:r>
        <w:t xml:space="preserve"> </w:t>
      </w:r>
      <w:r>
        <w:t xml:space="preserve">executives/program managers</w:t>
      </w:r>
    </w:p>
    <w:p>
      <w:pPr>
        <w:pStyle w:val="Compact"/>
        <w:numPr>
          <w:ilvl w:val="0"/>
          <w:numId w:val="1001"/>
        </w:numPr>
      </w:pPr>
      <w:r>
        <w:rPr>
          <w:b/>
          <w:bCs/>
        </w:rPr>
        <w:t xml:space="preserve">Training Records and LMS Integration (AT-4)</w:t>
      </w:r>
      <w:r>
        <w:t xml:space="preserve"> </w:t>
      </w:r>
      <w:r>
        <w:t xml:space="preserve">— machine-readable</w:t>
      </w:r>
      <w:r>
        <w:t xml:space="preserve"> </w:t>
      </w:r>
      <w:r>
        <w:t xml:space="preserve">completion record schema, Microsoft Viva Learning integration, and</w:t>
      </w:r>
      <w:r>
        <w:t xml:space="preserve"> </w:t>
      </w:r>
      <w:r>
        <w:t xml:space="preserve">export format for the governance substrate</w:t>
      </w:r>
    </w:p>
    <w:p>
      <w:pPr>
        <w:pStyle w:val="Compact"/>
        <w:numPr>
          <w:ilvl w:val="0"/>
          <w:numId w:val="1001"/>
        </w:numPr>
      </w:pPr>
      <w:r>
        <w:rPr>
          <w:b/>
          <w:bCs/>
        </w:rPr>
        <w:t xml:space="preserve">Contingency Training (CP-3)</w:t>
      </w:r>
      <w:r>
        <w:t xml:space="preserve"> </w:t>
      </w:r>
      <w:r>
        <w:t xml:space="preserve">— tabletop exercise calendar and</w:t>
      </w:r>
      <w:r>
        <w:t xml:space="preserve"> </w:t>
      </w:r>
      <w:r>
        <w:t xml:space="preserve">attendance documentation linking to Vol IV Book 01 (Business Continuity) DR runbooks</w:t>
      </w:r>
    </w:p>
    <w:p>
      <w:pPr>
        <w:pStyle w:val="Compact"/>
        <w:numPr>
          <w:ilvl w:val="0"/>
          <w:numId w:val="1001"/>
        </w:numPr>
      </w:pPr>
      <w:r>
        <w:rPr>
          <w:b/>
          <w:bCs/>
        </w:rPr>
        <w:t xml:space="preserve">Incident Response Training (IR-2)</w:t>
      </w:r>
      <w:r>
        <w:t xml:space="preserve"> </w:t>
      </w:r>
      <w:r>
        <w:t xml:space="preserve">— drill cadence, scenario library,</w:t>
      </w:r>
      <w:r>
        <w:t xml:space="preserve"> </w:t>
      </w:r>
      <w:r>
        <w:t xml:space="preserve">and after-action documentation linking to Vol III Book 06 (SIEM / XDR Detection) Sentinel playbooks</w:t>
      </w:r>
    </w:p>
    <w:p>
      <w:pPr>
        <w:pStyle w:val="Compact"/>
        <w:numPr>
          <w:ilvl w:val="0"/>
          <w:numId w:val="1001"/>
        </w:numPr>
      </w:pPr>
      <w:r>
        <w:rPr>
          <w:b/>
          <w:bCs/>
        </w:rPr>
        <w:t xml:space="preserve">KSI-CED-RAT Activation</w:t>
      </w:r>
      <w:r>
        <w:t xml:space="preserve"> </w:t>
      </w:r>
      <w:r>
        <w:t xml:space="preserve">— evidence contract wiring for KSI-022,</w:t>
      </w:r>
      <w:r>
        <w:t xml:space="preserve"> </w:t>
      </w:r>
      <w:r>
        <w:t xml:space="preserve">completing all 29 internal KSI-decomposition rules to evaluable status</w:t>
      </w:r>
    </w:p>
    <w:p>
      <w:pPr>
        <w:pStyle w:val="FirstParagraph"/>
      </w:pPr>
      <w:r>
        <w:t xml:space="preserve">Together these artifacts close five base NIST SP 800-53 Rev 5 controls plus</w:t>
      </w:r>
      <w:r>
        <w:t xml:space="preserve"> </w:t>
      </w:r>
      <w:r>
        <w:t xml:space="preserve">four enhancements (nine closure rows) across the AT, CP, and IR families, activate the final scaffold KSI in the internal</w:t>
      </w:r>
      <w:r>
        <w:t xml:space="preserve"> </w:t>
      </w:r>
      <w:r>
        <w:t xml:space="preserve">ruleset, and produce the machine-readable training-effectiveness record</w:t>
      </w:r>
      <w:r>
        <w:t xml:space="preserve"> </w:t>
      </w:r>
      <w:r>
        <w:t xml:space="preserve">required for FedRAMP 20x continuous monitoring.</w:t>
      </w:r>
    </w:p>
    <w:p>
      <w:r>
        <w:pict>
          <v:rect style="width:0;height:1.5pt" o:hralign="center" o:hrstd="t" o:hr="t"/>
        </w:pict>
      </w:r>
    </w:p>
    <w:bookmarkEnd w:id="10"/>
    <w:bookmarkStart w:id="14" w:name="X225662609e730bef0f7f410a047a24f25cc1c08"/>
    <w:p>
      <w:pPr>
        <w:pStyle w:val="Heading1"/>
      </w:pPr>
      <w:r>
        <w:t xml:space="preserve">1. Cybersecurity Training in the FedRAMP 20x Context</w:t>
      </w:r>
    </w:p>
    <w:bookmarkStart w:id="11" w:name="Xa8f12a9ad2cc53cad5d035299ebf6be0774842e"/>
    <w:p>
      <w:pPr>
        <w:pStyle w:val="Heading2"/>
      </w:pPr>
      <w:r>
        <w:t xml:space="preserve">1.1 Why Training Cannot Be Closed by Architecture Alone</w:t>
      </w:r>
    </w:p>
    <w:p>
      <w:pPr>
        <w:pStyle w:val="FirstParagraph"/>
      </w:pPr>
      <w:r>
        <w:t xml:space="preserve">Every other control family in this series can be closed by infrastructure</w:t>
      </w:r>
      <w:r>
        <w:t xml:space="preserve"> </w:t>
      </w:r>
      <w:r>
        <w:t xml:space="preserve">configuration — a DNS resolver enforces SC-7, an Entra Conditional Access</w:t>
      </w:r>
      <w:r>
        <w:t xml:space="preserve"> </w:t>
      </w:r>
      <w:r>
        <w:t xml:space="preserve">policy enforces AC-3, a Sentinel rule satisfies AU-6. Training controls are</w:t>
      </w:r>
      <w:r>
        <w:t xml:space="preserve"> </w:t>
      </w:r>
      <w:r>
        <w:t xml:space="preserve">different. AT-2, AT-3, and AT-4 require human participation recorded in a</w:t>
      </w:r>
      <w:r>
        <w:t xml:space="preserve"> </w:t>
      </w:r>
      <w:r>
        <w:t xml:space="preserve">system that produces queryable completion evidence.</w:t>
      </w:r>
    </w:p>
    <w:p>
      <w:pPr>
        <w:pStyle w:val="BodyText"/>
      </w:pPr>
      <w:r>
        <w:t xml:space="preserve">FedRAMP 20x KSI-CED-RAT (</w:t>
      </w:r>
      <w:r>
        <w:t xml:space="preserve">“Reviewing All Training”</w:t>
      </w:r>
      <w:r>
        <w:t xml:space="preserve">) evaluates whether the</w:t>
      </w:r>
      <w:r>
        <w:t xml:space="preserve"> </w:t>
      </w:r>
      <w:r>
        <w:t xml:space="preserve">organization</w:t>
      </w:r>
      <w:r>
        <w:t xml:space="preserve"> </w:t>
      </w:r>
      <w:r>
        <w:rPr>
          <w:b/>
          <w:bCs/>
        </w:rPr>
        <w:t xml:space="preserve">persistently reviews</w:t>
      </w:r>
      <w:r>
        <w:t xml:space="preserve"> </w:t>
      </w:r>
      <w:r>
        <w:t xml:space="preserve">training effectiveness across four</w:t>
      </w:r>
      <w:r>
        <w:t xml:space="preserve"> </w:t>
      </w:r>
      <w:r>
        <w:t xml:space="preserve">dimensions. The word</w:t>
      </w:r>
      <w:r>
        <w:t xml:space="preserve"> </w:t>
      </w:r>
      <w:r>
        <w:t xml:space="preserve">“persistently”</w:t>
      </w:r>
      <w:r>
        <w:t xml:space="preserve"> </w:t>
      </w:r>
      <w:r>
        <w:t xml:space="preserve">is deliberate — a one-time training</w:t>
      </w:r>
      <w:r>
        <w:t xml:space="preserve"> </w:t>
      </w:r>
      <w:r>
        <w:t xml:space="preserve">event satisfies nothing. The KSI evaluates whether the organization</w:t>
      </w:r>
      <w:r>
        <w:t xml:space="preserve"> </w:t>
      </w:r>
      <w:r>
        <w:t xml:space="preserve">maintains a continuous, structured review of training coverage, and whether</w:t>
      </w:r>
      <w:r>
        <w:t xml:space="preserve"> </w:t>
      </w:r>
      <w:r>
        <w:t xml:space="preserve">that review is backed by evidence in machine-readable form.</w:t>
      </w:r>
    </w:p>
    <w:p>
      <w:pPr>
        <w:pStyle w:val="BodyText"/>
      </w:pPr>
      <w:r>
        <w:t xml:space="preserve">The four training dimensions this program decomposes KSI-CED-RAT review into:</w:t>
      </w:r>
    </w:p>
    <w:p>
      <w:pPr>
        <w:pStyle w:val="TableCaption"/>
      </w:pPr>
      <w:r>
        <w:t xml:space="preserve">KSI-CED-RAT — Four Required Training Dimensions</w:t>
      </w:r>
    </w:p>
    <w:tbl>
      <w:tblPr>
        <w:tblStyle w:val="Table"/>
        <w:tblW w:type="pct" w:w="5000"/>
        <w:tblLayout w:type="fixed"/>
        <w:tblLook w:firstRow="1" w:lastRow="0" w:firstColumn="0" w:lastColumn="0" w:noHBand="0" w:noVBand="0" w:val="0020"/>
        <w:tblCaption w:val="KSI-CED-RAT — Four Required Training Dimensions"/>
      </w:tblPr>
      <w:tblGrid>
        <w:gridCol w:w="1742"/>
        <w:gridCol w:w="1584"/>
        <w:gridCol w:w="2217"/>
        <w:gridCol w:w="2376"/>
      </w:tblGrid>
      <w:tr>
        <w:trPr>
          <w:tblHeader w:val="on"/>
        </w:trPr>
        <w:tc>
          <w:tcPr/>
          <w:p>
            <w:pPr>
              <w:pStyle w:val="Compact"/>
            </w:pPr>
            <w:r>
              <w:t xml:space="preserve">Dimension</w:t>
            </w:r>
          </w:p>
        </w:tc>
        <w:tc>
          <w:tcPr/>
          <w:p>
            <w:pPr>
              <w:pStyle w:val="Compact"/>
            </w:pPr>
            <w:r>
              <w:t xml:space="preserve">Coverage</w:t>
            </w:r>
          </w:p>
        </w:tc>
        <w:tc>
          <w:tcPr/>
          <w:p>
            <w:pPr>
              <w:pStyle w:val="Compact"/>
            </w:pPr>
            <w:r>
              <w:t xml:space="preserve">NIST Control</w:t>
            </w:r>
          </w:p>
        </w:tc>
        <w:tc>
          <w:tcPr/>
          <w:p>
            <w:pPr>
              <w:pStyle w:val="Compact"/>
            </w:pPr>
            <w:r>
              <w:t xml:space="preserve">Evidence Type</w:t>
            </w:r>
          </w:p>
        </w:tc>
      </w:tr>
      <w:tr>
        <w:tc>
          <w:tcPr/>
          <w:p>
            <w:pPr>
              <w:pStyle w:val="Compact"/>
            </w:pPr>
            <w:r>
              <w:t xml:space="preserve">General awareness</w:t>
            </w:r>
          </w:p>
        </w:tc>
        <w:tc>
          <w:tcPr/>
          <w:p>
            <w:pPr>
              <w:pStyle w:val="Compact"/>
            </w:pPr>
            <w:r>
              <w:t xml:space="preserve">All employees</w:t>
            </w:r>
          </w:p>
        </w:tc>
        <w:tc>
          <w:tcPr/>
          <w:p>
            <w:pPr>
              <w:pStyle w:val="Compact"/>
            </w:pPr>
            <w:r>
              <w:t xml:space="preserve">AT-2</w:t>
            </w:r>
          </w:p>
        </w:tc>
        <w:tc>
          <w:tcPr/>
          <w:p>
            <w:pPr>
              <w:pStyle w:val="Compact"/>
            </w:pPr>
            <w:r>
              <w:t xml:space="preserve">LMS completion record — all staff</w:t>
            </w:r>
          </w:p>
        </w:tc>
      </w:tr>
      <w:tr>
        <w:tc>
          <w:tcPr/>
          <w:p>
            <w:pPr>
              <w:pStyle w:val="Compact"/>
            </w:pPr>
            <w:r>
              <w:t xml:space="preserve">Role-specific</w:t>
            </w:r>
          </w:p>
        </w:tc>
        <w:tc>
          <w:tcPr/>
          <w:p>
            <w:pPr>
              <w:pStyle w:val="Compact"/>
            </w:pPr>
            <w:r>
              <w:t xml:space="preserve">High-risk roles</w:t>
            </w:r>
          </w:p>
        </w:tc>
        <w:tc>
          <w:tcPr/>
          <w:p>
            <w:pPr>
              <w:pStyle w:val="Compact"/>
            </w:pPr>
            <w:r>
              <w:t xml:space="preserve">AT-3</w:t>
            </w:r>
          </w:p>
        </w:tc>
        <w:tc>
          <w:tcPr/>
          <w:p>
            <w:pPr>
              <w:pStyle w:val="Compact"/>
            </w:pPr>
            <w:r>
              <w:t xml:space="preserve">LMS completion record — by role</w:t>
            </w:r>
          </w:p>
        </w:tc>
      </w:tr>
      <w:tr>
        <w:tc>
          <w:tcPr/>
          <w:p>
            <w:pPr>
              <w:pStyle w:val="Compact"/>
            </w:pPr>
            <w:r>
              <w:t xml:space="preserve">Secure delivery</w:t>
            </w:r>
          </w:p>
        </w:tc>
        <w:tc>
          <w:tcPr/>
          <w:p>
            <w:pPr>
              <w:pStyle w:val="Compact"/>
            </w:pPr>
            <w:r>
              <w:t xml:space="preserve">Developers / engineers</w:t>
            </w:r>
          </w:p>
        </w:tc>
        <w:tc>
          <w:tcPr/>
          <w:p>
            <w:pPr>
              <w:pStyle w:val="Compact"/>
            </w:pPr>
            <w:r>
              <w:t xml:space="preserve">AT-3, AT-3(3)</w:t>
            </w:r>
          </w:p>
        </w:tc>
        <w:tc>
          <w:tcPr/>
          <w:p>
            <w:pPr>
              <w:pStyle w:val="Compact"/>
            </w:pPr>
            <w:r>
              <w:t xml:space="preserve">Training certification or course transcript</w:t>
            </w:r>
          </w:p>
        </w:tc>
      </w:tr>
      <w:tr>
        <w:tc>
          <w:tcPr/>
          <w:p>
            <w:pPr>
              <w:pStyle w:val="Compact"/>
            </w:pPr>
            <w:r>
              <w:t xml:space="preserve">IR/DR</w:t>
            </w:r>
          </w:p>
        </w:tc>
        <w:tc>
          <w:tcPr/>
          <w:p>
            <w:pPr>
              <w:pStyle w:val="Compact"/>
            </w:pPr>
            <w:r>
              <w:t xml:space="preserve">Incident response and recovery personnel</w:t>
            </w:r>
          </w:p>
        </w:tc>
        <w:tc>
          <w:tcPr/>
          <w:p>
            <w:pPr>
              <w:pStyle w:val="Compact"/>
            </w:pPr>
            <w:r>
              <w:t xml:space="preserve">IR-2, CP-3</w:t>
            </w:r>
          </w:p>
        </w:tc>
        <w:tc>
          <w:tcPr/>
          <w:p>
            <w:pPr>
              <w:pStyle w:val="Compact"/>
            </w:pPr>
            <w:r>
              <w:t xml:space="preserve">Tabletop attendance record + after-action report</w:t>
            </w:r>
          </w:p>
        </w:tc>
      </w:tr>
    </w:tbl>
    <w:bookmarkEnd w:id="11"/>
    <w:bookmarkStart w:id="12" w:name="X75c2678665d29b146e6d4ce66e7f1a458d7e9bb"/>
    <w:p>
      <w:pPr>
        <w:pStyle w:val="Heading2"/>
      </w:pPr>
      <w:r>
        <w:t xml:space="preserve">1.2 The Relationship to Vol IV Book 01 and Vol IV Book 03</w:t>
      </w:r>
    </w:p>
    <w:p>
      <w:pPr>
        <w:pStyle w:val="FirstParagraph"/>
      </w:pPr>
      <w:r>
        <w:t xml:space="preserve">Vol IV Book 01 (Business Continuity) established the CP-2 Contingency Plan and</w:t>
      </w:r>
      <w:r>
        <w:t xml:space="preserve"> </w:t>
      </w:r>
      <w:r>
        <w:t xml:space="preserve">defined RTO/RPO/MTD targets. Vol IV Book 03 (Program Management) established the</w:t>
      </w:r>
      <w:r>
        <w:t xml:space="preserve"> </w:t>
      </w:r>
      <w:r>
        <w:t xml:space="preserve">PM-14 Testing, Training, and Monitoring Plan that schedules tabletop</w:t>
      </w:r>
      <w:r>
        <w:t xml:space="preserve"> </w:t>
      </w:r>
      <w:r>
        <w:t xml:space="preserve">exercises on an annual cadence. This document provides the training content,</w:t>
      </w:r>
      <w:r>
        <w:t xml:space="preserve"> </w:t>
      </w:r>
      <w:r>
        <w:t xml:space="preserve">role matrices, and evidence record schema that those frameworks reference.</w:t>
      </w:r>
    </w:p>
    <w:p>
      <w:pPr>
        <w:pStyle w:val="BodyText"/>
      </w:pPr>
      <w:r>
        <w:t xml:space="preserve">The PM-14 T&amp;T&amp;M Plan names training as a required activity. Vol IV Book 05</w:t>
      </w:r>
      <w:r>
        <w:t xml:space="preserve"> </w:t>
      </w:r>
      <w:r>
        <w:t xml:space="preserve">defines what that training contains, who must complete it, and how</w:t>
      </w:r>
      <w:r>
        <w:t xml:space="preserve"> </w:t>
      </w:r>
      <w:r>
        <w:t xml:space="preserve">completion is recorded in a form that the governance substrate can</w:t>
      </w:r>
      <w:r>
        <w:t xml:space="preserve"> </w:t>
      </w:r>
      <w:r>
        <w:t xml:space="preserve">ingest as a machine-readable KSI evidence signal.</w:t>
      </w:r>
    </w:p>
    <w:bookmarkEnd w:id="12"/>
    <w:bookmarkStart w:id="13" w:name="controls-closed-by-this-document"/>
    <w:p>
      <w:pPr>
        <w:pStyle w:val="Heading2"/>
      </w:pPr>
      <w:r>
        <w:t xml:space="preserve">1.3 Controls Closed by This Document</w:t>
      </w:r>
    </w:p>
    <w:p>
      <w:pPr>
        <w:pStyle w:val="TableCaption"/>
      </w:pPr>
      <w:r>
        <w:t xml:space="preserve">AT Family Control Closure — Vol IV Book 05</w:t>
      </w:r>
    </w:p>
    <w:tbl>
      <w:tblPr>
        <w:tblStyle w:val="Table"/>
        <w:tblW w:type="pct" w:w="5000"/>
        <w:tblLayout w:type="fixed"/>
        <w:tblLook w:firstRow="1" w:lastRow="0" w:firstColumn="0" w:lastColumn="0" w:noHBand="0" w:noVBand="0" w:val="0020"/>
        <w:tblCaption w:val="AT Family Control Closure — Vol IV Book 05"/>
      </w:tblPr>
      <w:tblGrid>
        <w:gridCol w:w="2036"/>
        <w:gridCol w:w="1584"/>
        <w:gridCol w:w="4299"/>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Closure Mechanism</w:t>
            </w:r>
          </w:p>
        </w:tc>
      </w:tr>
      <w:tr>
        <w:tc>
          <w:tcPr/>
          <w:p>
            <w:pPr>
              <w:pStyle w:val="Compact"/>
            </w:pPr>
            <w:r>
              <w:rPr>
                <w:b/>
                <w:bCs/>
              </w:rPr>
              <w:t xml:space="preserve">AT-2</w:t>
            </w:r>
          </w:p>
        </w:tc>
        <w:tc>
          <w:tcPr/>
          <w:p>
            <w:pPr>
              <w:pStyle w:val="Compact"/>
            </w:pPr>
            <w:r>
              <w:t xml:space="preserve">Literacy Training and Awareness</w:t>
            </w:r>
          </w:p>
        </w:tc>
        <w:tc>
          <w:tcPr/>
          <w:p>
            <w:pPr>
              <w:pStyle w:val="Compact"/>
            </w:pPr>
            <w:r>
              <w:t xml:space="preserve">Annual all-employee security awareness via Microsoft Viva Learning or equivalent; LMS completion record as evidence</w:t>
            </w:r>
          </w:p>
        </w:tc>
      </w:tr>
      <w:tr>
        <w:tc>
          <w:tcPr/>
          <w:p>
            <w:pPr>
              <w:pStyle w:val="Compact"/>
            </w:pPr>
            <w:r>
              <w:rPr>
                <w:b/>
                <w:bCs/>
              </w:rPr>
              <w:t xml:space="preserve">AT-2(1)</w:t>
            </w:r>
          </w:p>
        </w:tc>
        <w:tc>
          <w:tcPr/>
          <w:p>
            <w:pPr>
              <w:pStyle w:val="Compact"/>
            </w:pPr>
            <w:r>
              <w:t xml:space="preserve">Practical Exercises</w:t>
            </w:r>
          </w:p>
        </w:tc>
        <w:tc>
          <w:tcPr/>
          <w:p>
            <w:pPr>
              <w:pStyle w:val="Compact"/>
            </w:pPr>
            <w:r>
              <w:t xml:space="preserve">Phishing simulation exercises integrated into awareness program; simulation result record as evidence</w:t>
            </w:r>
          </w:p>
        </w:tc>
      </w:tr>
      <w:tr>
        <w:tc>
          <w:tcPr/>
          <w:p>
            <w:pPr>
              <w:pStyle w:val="Compact"/>
            </w:pPr>
            <w:r>
              <w:rPr>
                <w:b/>
                <w:bCs/>
              </w:rPr>
              <w:t xml:space="preserve">AT-2(2)</w:t>
            </w:r>
          </w:p>
        </w:tc>
        <w:tc>
          <w:tcPr/>
          <w:p>
            <w:pPr>
              <w:pStyle w:val="Compact"/>
            </w:pPr>
            <w:r>
              <w:t xml:space="preserve">Insider Threat</w:t>
            </w:r>
          </w:p>
        </w:tc>
        <w:tc>
          <w:tcPr/>
          <w:p>
            <w:pPr>
              <w:pStyle w:val="Compact"/>
            </w:pPr>
            <w:r>
              <w:t xml:space="preserve">Insider threat module within annual awareness program; included in LMS completion record</w:t>
            </w:r>
          </w:p>
        </w:tc>
      </w:tr>
      <w:tr>
        <w:tc>
          <w:tcPr/>
          <w:p>
            <w:pPr>
              <w:pStyle w:val="Compact"/>
            </w:pPr>
            <w:r>
              <w:rPr>
                <w:b/>
                <w:bCs/>
              </w:rPr>
              <w:t xml:space="preserve">AT-3</w:t>
            </w:r>
          </w:p>
        </w:tc>
        <w:tc>
          <w:tcPr/>
          <w:p>
            <w:pPr>
              <w:pStyle w:val="Compact"/>
            </w:pPr>
            <w:r>
              <w:t xml:space="preserve">Role-Based Training</w:t>
            </w:r>
          </w:p>
        </w:tc>
        <w:tc>
          <w:tcPr/>
          <w:p>
            <w:pPr>
              <w:pStyle w:val="Compact"/>
            </w:pPr>
            <w:r>
              <w:t xml:space="preserve">Role training matrix with six categories; role-specific LMS tracks with separate completion evidence</w:t>
            </w:r>
          </w:p>
        </w:tc>
      </w:tr>
      <w:tr>
        <w:tc>
          <w:tcPr/>
          <w:p>
            <w:pPr>
              <w:pStyle w:val="Compact"/>
            </w:pPr>
            <w:r>
              <w:rPr>
                <w:b/>
                <w:bCs/>
              </w:rPr>
              <w:t xml:space="preserve">AT-3(3)</w:t>
            </w:r>
          </w:p>
        </w:tc>
        <w:tc>
          <w:tcPr/>
          <w:p>
            <w:pPr>
              <w:pStyle w:val="Compact"/>
            </w:pPr>
            <w:r>
              <w:t xml:space="preserve">Practical Exercises for High-Risk Roles</w:t>
            </w:r>
          </w:p>
        </w:tc>
        <w:tc>
          <w:tcPr/>
          <w:p>
            <w:pPr>
              <w:pStyle w:val="Compact"/>
            </w:pPr>
            <w:r>
              <w:t xml:space="preserve">Hands-on labs and scenario exercises for sysadmins, developers, and IR personnel</w:t>
            </w:r>
          </w:p>
        </w:tc>
      </w:tr>
      <w:tr>
        <w:tc>
          <w:tcPr/>
          <w:p>
            <w:pPr>
              <w:pStyle w:val="Compact"/>
            </w:pPr>
            <w:r>
              <w:rPr>
                <w:b/>
                <w:bCs/>
              </w:rPr>
              <w:t xml:space="preserve">AT-3(5)</w:t>
            </w:r>
          </w:p>
        </w:tc>
        <w:tc>
          <w:tcPr/>
          <w:p>
            <w:pPr>
              <w:pStyle w:val="Compact"/>
            </w:pPr>
            <w:r>
              <w:t xml:space="preserve">Processing Personally Identifiable Information</w:t>
            </w:r>
          </w:p>
        </w:tc>
        <w:tc>
          <w:tcPr/>
          <w:p>
            <w:pPr>
              <w:pStyle w:val="Compact"/>
            </w:pPr>
            <w:r>
              <w:t xml:space="preserve">PII awareness module for data stewards, connecting to Vol IV Book 04 (PII Processing &amp; Transparency) PT family</w:t>
            </w:r>
          </w:p>
        </w:tc>
      </w:tr>
      <w:tr>
        <w:tc>
          <w:tcPr/>
          <w:p>
            <w:pPr>
              <w:pStyle w:val="Compact"/>
            </w:pPr>
            <w:r>
              <w:rPr>
                <w:b/>
                <w:bCs/>
              </w:rPr>
              <w:t xml:space="preserve">AT-4</w:t>
            </w:r>
          </w:p>
        </w:tc>
        <w:tc>
          <w:tcPr/>
          <w:p>
            <w:pPr>
              <w:pStyle w:val="Compact"/>
            </w:pPr>
            <w:r>
              <w:t xml:space="preserve">Training Records</w:t>
            </w:r>
          </w:p>
        </w:tc>
        <w:tc>
          <w:tcPr/>
          <w:p>
            <w:pPr>
              <w:pStyle w:val="Compact"/>
            </w:pPr>
            <w:r>
              <w:t xml:space="preserve">LMS export in JSON/CSV format; monthly snapshot to governance substrate</w:t>
            </w:r>
          </w:p>
        </w:tc>
      </w:tr>
      <w:tr>
        <w:tc>
          <w:tcPr/>
          <w:p>
            <w:pPr>
              <w:pStyle w:val="Compact"/>
            </w:pPr>
            <w:r>
              <w:rPr>
                <w:b/>
                <w:bCs/>
              </w:rPr>
              <w:t xml:space="preserve">CP-3</w:t>
            </w:r>
          </w:p>
        </w:tc>
        <w:tc>
          <w:tcPr/>
          <w:p>
            <w:pPr>
              <w:pStyle w:val="Compact"/>
            </w:pPr>
            <w:r>
              <w:t xml:space="preserve">Contingency Training</w:t>
            </w:r>
          </w:p>
        </w:tc>
        <w:tc>
          <w:tcPr/>
          <w:p>
            <w:pPr>
              <w:pStyle w:val="Compact"/>
            </w:pPr>
            <w:r>
              <w:t xml:space="preserve">Annual tabletop exercise with attendance record; after-action report archived</w:t>
            </w:r>
          </w:p>
        </w:tc>
      </w:tr>
      <w:tr>
        <w:tc>
          <w:tcPr/>
          <w:p>
            <w:pPr>
              <w:pStyle w:val="Compact"/>
            </w:pPr>
            <w:r>
              <w:rPr>
                <w:b/>
                <w:bCs/>
              </w:rPr>
              <w:t xml:space="preserve">IR-2</w:t>
            </w:r>
          </w:p>
        </w:tc>
        <w:tc>
          <w:tcPr/>
          <w:p>
            <w:pPr>
              <w:pStyle w:val="Compact"/>
            </w:pPr>
            <w:r>
              <w:t xml:space="preserve">Incident Response Training</w:t>
            </w:r>
          </w:p>
        </w:tc>
        <w:tc>
          <w:tcPr/>
          <w:p>
            <w:pPr>
              <w:pStyle w:val="Compact"/>
            </w:pPr>
            <w:r>
              <w:t xml:space="preserve">Semi-annual IR drill; scenario library maintained by SOC; connects to Vol III Book 06 Sentinel playbooks</w:t>
            </w:r>
          </w:p>
        </w:tc>
      </w:tr>
    </w:tbl>
    <w:p>
      <w:pPr>
        <w:pStyle w:val="BlockText"/>
      </w:pPr>
      <w:r>
        <w:rPr>
          <w:b/>
          <w:bCs/>
        </w:rPr>
        <w:t xml:space="preserve">Closure Necessity — AT family and KSI-CED.</w:t>
      </w:r>
      <w:r>
        <w:t xml:space="preserve"> </w:t>
      </w:r>
      <w:r>
        <w:t xml:space="preserve">These controls close through</w:t>
      </w:r>
      <w:r>
        <w:t xml:space="preserve"> </w:t>
      </w:r>
      <w:r>
        <w:t xml:space="preserve">training evidence — LMS completion records, drill attendance, and</w:t>
      </w:r>
      <w:r>
        <w:t xml:space="preserve"> </w:t>
      </w:r>
      <w:r>
        <w:t xml:space="preserve">after-action reports — not through the network substrate. What the substrate</w:t>
      </w:r>
      <w:r>
        <w:t xml:space="preserve"> </w:t>
      </w:r>
      <w:r>
        <w:t xml:space="preserve">supplies is the curriculum: the program trains personnel on the architecture</w:t>
      </w:r>
      <w:r>
        <w:t xml:space="preserve"> </w:t>
      </w:r>
      <w:r>
        <w:t xml:space="preserve">the rest of this series builds — the authoritative naming and addressing</w:t>
      </w:r>
      <w:r>
        <w:t xml:space="preserve"> </w:t>
      </w:r>
      <w:r>
        <w:t xml:space="preserve">plane (Vol I Book 01), device identity at the port (Vol I Book 02), and certificate- and</w:t>
      </w:r>
      <w:r>
        <w:t xml:space="preserve"> </w:t>
      </w:r>
      <w:r>
        <w:t xml:space="preserve">token-based cryptographic identity (Vol I Book 03) — so the people operating the</w:t>
      </w:r>
      <w:r>
        <w:t xml:space="preserve"> </w:t>
      </w:r>
      <w:r>
        <w:t xml:space="preserve">substrate understand why it is configured the way it is. A trained workforce</w:t>
      </w:r>
      <w:r>
        <w:t xml:space="preserve"> </w:t>
      </w:r>
      <w:r>
        <w:t xml:space="preserve">is the one closure mechanism no configuration setting can substitute for, and</w:t>
      </w:r>
      <w:r>
        <w:t xml:space="preserve"> </w:t>
      </w:r>
      <w:r>
        <w:t xml:space="preserve">the series’ necessity claims elsewhere stay credible precisely because it</w:t>
      </w:r>
      <w:r>
        <w:t xml:space="preserve"> </w:t>
      </w:r>
      <w:r>
        <w:t xml:space="preserve">does not pretend otherwise.</w:t>
      </w:r>
    </w:p>
    <w:p>
      <w:r>
        <w:pict>
          <v:rect style="width:0;height:1.5pt" o:hralign="center" o:hrstd="t" o:hr="t"/>
        </w:pict>
      </w:r>
    </w:p>
    <w:bookmarkEnd w:id="13"/>
    <w:bookmarkEnd w:id="14"/>
    <w:bookmarkStart w:id="17" w:name="training-program-architecture"/>
    <w:p>
      <w:pPr>
        <w:pStyle w:val="Heading1"/>
      </w:pPr>
      <w:r>
        <w:t xml:space="preserve">2. Training Program Architecture</w:t>
      </w:r>
    </w:p>
    <w:bookmarkStart w:id="15" w:name="the-four-dimension-model"/>
    <w:p>
      <w:pPr>
        <w:pStyle w:val="Heading2"/>
      </w:pPr>
      <w:r>
        <w:t xml:space="preserve">2.1 The Four-Dimension Model</w:t>
      </w:r>
    </w:p>
    <w:p>
      <w:pPr>
        <w:pStyle w:val="FirstParagraph"/>
      </w:pPr>
      <w:r>
        <w:t xml:space="preserve">The training program is organized around the four dimensions KSI-CED-RAT</w:t>
      </w:r>
      <w:r>
        <w:t xml:space="preserve"> </w:t>
      </w:r>
      <w:r>
        <w:t xml:space="preserve">requires the organization to persistently review. Each dimension has a</w:t>
      </w:r>
      <w:r>
        <w:t xml:space="preserve"> </w:t>
      </w:r>
      <w:r>
        <w:t xml:space="preserve">distinct audience, delivery mechanism, frequency, and evidence type.</w:t>
      </w:r>
    </w:p>
    <w:bookmarkEnd w:id="15"/>
    <w:bookmarkStart w:id="16" w:name="program-governance"/>
    <w:p>
      <w:pPr>
        <w:pStyle w:val="Heading2"/>
      </w:pPr>
      <w:r>
        <w:t xml:space="preserve">2.2 Program Governance</w:t>
      </w:r>
    </w:p>
    <w:p>
      <w:pPr>
        <w:pStyle w:val="FirstParagraph"/>
      </w:pPr>
      <w:r>
        <w:t xml:space="preserve">The training program is governed by the following roles, which connect</w:t>
      </w:r>
      <w:r>
        <w:t xml:space="preserve"> </w:t>
      </w:r>
      <w:r>
        <w:t xml:space="preserve">directly to the RACI established in Vol IV Book 03:</w:t>
      </w:r>
    </w:p>
    <w:p>
      <w:pPr>
        <w:pStyle w:val="TableCaption"/>
      </w:pPr>
      <w:r>
        <w:t xml:space="preserve">Training Program RACI — Key Roles</w:t>
      </w:r>
    </w:p>
    <w:tbl>
      <w:tblPr>
        <w:tblStyle w:val="Table"/>
        <w:tblW w:type="pct" w:w="5000"/>
        <w:tblLayout w:type="fixed"/>
        <w:tblLook w:firstRow="1" w:lastRow="0" w:firstColumn="0" w:lastColumn="0" w:noHBand="0" w:noVBand="0" w:val="0020"/>
        <w:tblCaption w:val="Training Program RACI — Key Roles"/>
      </w:tblPr>
      <w:tblGrid>
        <w:gridCol w:w="2160"/>
        <w:gridCol w:w="5760"/>
      </w:tblGrid>
      <w:tr>
        <w:trPr>
          <w:tblHeader w:val="on"/>
        </w:trPr>
        <w:tc>
          <w:tcPr/>
          <w:p>
            <w:pPr>
              <w:pStyle w:val="Compact"/>
            </w:pPr>
            <w:r>
              <w:t xml:space="preserve">Role</w:t>
            </w:r>
          </w:p>
        </w:tc>
        <w:tc>
          <w:tcPr/>
          <w:p>
            <w:pPr>
              <w:pStyle w:val="Compact"/>
            </w:pPr>
            <w:r>
              <w:t xml:space="preserve">Responsibility</w:t>
            </w:r>
          </w:p>
        </w:tc>
      </w:tr>
      <w:tr>
        <w:tc>
          <w:tcPr/>
          <w:p>
            <w:pPr>
              <w:pStyle w:val="Compact"/>
            </w:pPr>
            <w:r>
              <w:rPr>
                <w:b/>
                <w:bCs/>
              </w:rPr>
              <w:t xml:space="preserve">ISSO</w:t>
            </w:r>
          </w:p>
        </w:tc>
        <w:tc>
          <w:tcPr/>
          <w:p>
            <w:pPr>
              <w:pStyle w:val="Compact"/>
            </w:pPr>
            <w:r>
              <w:t xml:space="preserve">Program owner; approves training content annually; signs off on AT-4 record accuracy</w:t>
            </w:r>
          </w:p>
        </w:tc>
      </w:tr>
      <w:tr>
        <w:tc>
          <w:tcPr/>
          <w:p>
            <w:pPr>
              <w:pStyle w:val="Compact"/>
            </w:pPr>
            <w:r>
              <w:rPr>
                <w:b/>
                <w:bCs/>
              </w:rPr>
              <w:t xml:space="preserve">ISSM</w:t>
            </w:r>
          </w:p>
        </w:tc>
        <w:tc>
          <w:tcPr/>
          <w:p>
            <w:pPr>
              <w:pStyle w:val="Compact"/>
            </w:pPr>
            <w:r>
              <w:t xml:space="preserve">Escalation point for role-based training gaps; receives quarterly completion dashboards</w:t>
            </w:r>
          </w:p>
        </w:tc>
      </w:tr>
      <w:tr>
        <w:tc>
          <w:tcPr/>
          <w:p>
            <w:pPr>
              <w:pStyle w:val="Compact"/>
            </w:pPr>
            <w:r>
              <w:rPr>
                <w:b/>
                <w:bCs/>
              </w:rPr>
              <w:t xml:space="preserve">HR / Training Coordinator</w:t>
            </w:r>
          </w:p>
        </w:tc>
        <w:tc>
          <w:tcPr/>
          <w:p>
            <w:pPr>
              <w:pStyle w:val="Compact"/>
            </w:pPr>
            <w:r>
              <w:t xml:space="preserve">Manages LMS enrollment, completion tracking, and export to governance substrate</w:t>
            </w:r>
          </w:p>
        </w:tc>
      </w:tr>
      <w:tr>
        <w:tc>
          <w:tcPr/>
          <w:p>
            <w:pPr>
              <w:pStyle w:val="Compact"/>
            </w:pPr>
            <w:r>
              <w:rPr>
                <w:b/>
                <w:bCs/>
              </w:rPr>
              <w:t xml:space="preserve">SOC Lead</w:t>
            </w:r>
          </w:p>
        </w:tc>
        <w:tc>
          <w:tcPr/>
          <w:p>
            <w:pPr>
              <w:pStyle w:val="Compact"/>
            </w:pPr>
            <w:r>
              <w:t xml:space="preserve">Owns IR drill calendar; authors scenario library; produces after-action reports</w:t>
            </w:r>
          </w:p>
        </w:tc>
      </w:tr>
      <w:tr>
        <w:tc>
          <w:tcPr/>
          <w:p>
            <w:pPr>
              <w:pStyle w:val="Compact"/>
            </w:pPr>
            <w:r>
              <w:rPr>
                <w:b/>
                <w:bCs/>
              </w:rPr>
              <w:t xml:space="preserve">COR / Program Manager</w:t>
            </w:r>
          </w:p>
        </w:tc>
        <w:tc>
          <w:tcPr/>
          <w:p>
            <w:pPr>
              <w:pStyle w:val="Compact"/>
            </w:pPr>
            <w:r>
              <w:t xml:space="preserve">Ensures contractor workforce completes applicable training tracks</w:t>
            </w:r>
          </w:p>
        </w:tc>
      </w:tr>
      <w:tr>
        <w:tc>
          <w:tcPr/>
          <w:p>
            <w:pPr>
              <w:pStyle w:val="Compact"/>
            </w:pPr>
            <w:r>
              <w:rPr>
                <w:b/>
                <w:bCs/>
              </w:rPr>
              <w:t xml:space="preserve">Supervisor (all levels)</w:t>
            </w:r>
          </w:p>
        </w:tc>
        <w:tc>
          <w:tcPr/>
          <w:p>
            <w:pPr>
              <w:pStyle w:val="Compact"/>
            </w:pPr>
            <w:r>
              <w:t xml:space="preserve">Accountable for direct report completion within their organization</w:t>
            </w:r>
          </w:p>
        </w:tc>
      </w:tr>
    </w:tbl>
    <w:p>
      <w:r>
        <w:pict>
          <v:rect style="width:0;height:1.5pt" o:hralign="center" o:hrstd="t" o:hr="t"/>
        </w:pict>
      </w:r>
    </w:p>
    <w:bookmarkEnd w:id="16"/>
    <w:bookmarkEnd w:id="17"/>
    <w:bookmarkStart w:id="21" w:name="Xcefb118f81abab16ec75021820981ffc595a0dc"/>
    <w:p>
      <w:pPr>
        <w:pStyle w:val="Heading1"/>
      </w:pPr>
      <w:r>
        <w:t xml:space="preserve">3. Dimension 1 — General Security Awareness Training (AT-2)</w:t>
      </w:r>
    </w:p>
    <w:bookmarkStart w:id="18" w:name="program-design"/>
    <w:p>
      <w:pPr>
        <w:pStyle w:val="Heading2"/>
      </w:pPr>
      <w:r>
        <w:t xml:space="preserve">3.1 Program Design</w:t>
      </w:r>
    </w:p>
    <w:p>
      <w:pPr>
        <w:pStyle w:val="FirstParagraph"/>
      </w:pPr>
      <w:r>
        <w:t xml:space="preserve">AT-2 requires security awareness training for all users of organizational</w:t>
      </w:r>
      <w:r>
        <w:t xml:space="preserve"> </w:t>
      </w:r>
      <w:r>
        <w:t xml:space="preserve">systems, including contractors and privileged users, before they are granted</w:t>
      </w:r>
      <w:r>
        <w:t xml:space="preserve"> </w:t>
      </w:r>
      <w:r>
        <w:t xml:space="preserve">access and on a recurring basis thereafter. For FedRAMP 20x, the recurring</w:t>
      </w:r>
      <w:r>
        <w:t xml:space="preserve"> </w:t>
      </w:r>
      <w:r>
        <w:t xml:space="preserve">basis must produce a persistent completion record — annual is the standard</w:t>
      </w:r>
      <w:r>
        <w:t xml:space="preserve"> </w:t>
      </w:r>
      <w:r>
        <w:t xml:space="preserve">minimum; quarterly refreshers are best practice for GCC Moderate systems.</w:t>
      </w:r>
    </w:p>
    <w:p>
      <w:pPr>
        <w:pStyle w:val="BodyText"/>
      </w:pPr>
      <w:r>
        <w:t xml:space="preserve">The general awareness program covers:</w:t>
      </w:r>
    </w:p>
    <w:p>
      <w:pPr>
        <w:pStyle w:val="TableCaption"/>
      </w:pPr>
      <w:r>
        <w:t xml:space="preserve">AT-2 General Awareness — Required Modules</w:t>
      </w:r>
    </w:p>
    <w:tbl>
      <w:tblPr>
        <w:tblStyle w:val="Table"/>
        <w:tblW w:type="pct" w:w="5000"/>
        <w:tblLayout w:type="fixed"/>
        <w:tblLook w:firstRow="1" w:lastRow="0" w:firstColumn="0" w:lastColumn="0" w:noHBand="0" w:noVBand="0" w:val="0020"/>
        <w:tblCaption w:val="AT-2 General Awareness — Required Modules"/>
      </w:tblPr>
      <w:tblGrid>
        <w:gridCol w:w="1760"/>
        <w:gridCol w:w="1980"/>
        <w:gridCol w:w="4180"/>
      </w:tblGrid>
      <w:tr>
        <w:trPr>
          <w:tblHeader w:val="on"/>
        </w:trPr>
        <w:tc>
          <w:tcPr/>
          <w:p>
            <w:pPr>
              <w:pStyle w:val="Compact"/>
            </w:pPr>
            <w:r>
              <w:t xml:space="preserve">Module</w:t>
            </w:r>
          </w:p>
        </w:tc>
        <w:tc>
          <w:tcPr/>
          <w:p>
            <w:pPr>
              <w:pStyle w:val="Compact"/>
            </w:pPr>
            <w:r>
              <w:t xml:space="preserve">Content</w:t>
            </w:r>
          </w:p>
        </w:tc>
        <w:tc>
          <w:tcPr/>
          <w:p>
            <w:pPr>
              <w:pStyle w:val="Compact"/>
            </w:pPr>
            <w:r>
              <w:t xml:space="preserve">Regulatory Driver</w:t>
            </w:r>
          </w:p>
        </w:tc>
      </w:tr>
      <w:tr>
        <w:tc>
          <w:tcPr/>
          <w:p>
            <w:pPr>
              <w:pStyle w:val="Compact"/>
            </w:pPr>
            <w:r>
              <w:rPr>
                <w:b/>
                <w:bCs/>
              </w:rPr>
              <w:t xml:space="preserve">Zero Trust Fundamentals</w:t>
            </w:r>
          </w:p>
        </w:tc>
        <w:tc>
          <w:tcPr/>
          <w:p>
            <w:pPr>
              <w:pStyle w:val="Compact"/>
            </w:pPr>
            <w:r>
              <w:t xml:space="preserve">Why implicit trust is gone; verify explicitly, least privilege, assume breach</w:t>
            </w:r>
          </w:p>
        </w:tc>
        <w:tc>
          <w:tcPr/>
          <w:p>
            <w:pPr>
              <w:pStyle w:val="Compact"/>
            </w:pPr>
            <w:r>
              <w:t xml:space="preserve">EO 14028, OMB M-22-09</w:t>
            </w:r>
          </w:p>
        </w:tc>
      </w:tr>
      <w:tr>
        <w:tc>
          <w:tcPr/>
          <w:p>
            <w:pPr>
              <w:pStyle w:val="Compact"/>
            </w:pPr>
            <w:r>
              <w:rPr>
                <w:b/>
                <w:bCs/>
              </w:rPr>
              <w:t xml:space="preserve">Phishing and Social Engineering</w:t>
            </w:r>
          </w:p>
        </w:tc>
        <w:tc>
          <w:tcPr/>
          <w:p>
            <w:pPr>
              <w:pStyle w:val="Compact"/>
            </w:pPr>
            <w:r>
              <w:t xml:space="preserve">Recognition, reporting, GCC-tenant spoofing patterns</w:t>
            </w:r>
          </w:p>
        </w:tc>
        <w:tc>
          <w:tcPr/>
          <w:p>
            <w:pPr>
              <w:pStyle w:val="Compact"/>
            </w:pPr>
            <w:r>
              <w:t xml:space="preserve">AT-2, CISA guidance</w:t>
            </w:r>
          </w:p>
        </w:tc>
      </w:tr>
      <w:tr>
        <w:tc>
          <w:tcPr/>
          <w:p>
            <w:pPr>
              <w:pStyle w:val="Compact"/>
            </w:pPr>
            <w:r>
              <w:rPr>
                <w:b/>
                <w:bCs/>
              </w:rPr>
              <w:t xml:space="preserve">Password and MFA Hygiene</w:t>
            </w:r>
          </w:p>
        </w:tc>
        <w:tc>
          <w:tcPr/>
          <w:p>
            <w:pPr>
              <w:pStyle w:val="Compact"/>
            </w:pPr>
            <w:r>
              <w:t xml:space="preserve">Entra MFA, FIDO2 keys, authenticator apps; why SMS is deprecated</w:t>
            </w:r>
          </w:p>
        </w:tc>
        <w:tc>
          <w:tcPr/>
          <w:p>
            <w:pPr>
              <w:pStyle w:val="Compact"/>
            </w:pPr>
            <w:r>
              <w:t xml:space="preserve">IA-5, CISA MFA guidance</w:t>
            </w:r>
          </w:p>
        </w:tc>
      </w:tr>
      <w:tr>
        <w:tc>
          <w:tcPr/>
          <w:p>
            <w:pPr>
              <w:pStyle w:val="Compact"/>
            </w:pPr>
            <w:r>
              <w:rPr>
                <w:b/>
                <w:bCs/>
              </w:rPr>
              <w:t xml:space="preserve">Insider Threat Awareness</w:t>
            </w:r>
          </w:p>
        </w:tc>
        <w:tc>
          <w:tcPr/>
          <w:p>
            <w:pPr>
              <w:pStyle w:val="Compact"/>
            </w:pPr>
            <w:r>
              <w:t xml:space="preserve">Behavioral indicators, reporting obligations, NITTF minimum standards / agency insider-threat program (EO 13587)</w:t>
            </w:r>
          </w:p>
        </w:tc>
        <w:tc>
          <w:tcPr/>
          <w:p>
            <w:pPr>
              <w:pStyle w:val="Compact"/>
            </w:pPr>
            <w:r>
              <w:t xml:space="preserve">AT-2(2), EO 13587</w:t>
            </w:r>
          </w:p>
        </w:tc>
      </w:tr>
      <w:tr>
        <w:tc>
          <w:tcPr/>
          <w:p>
            <w:pPr>
              <w:pStyle w:val="Compact"/>
            </w:pPr>
            <w:r>
              <w:rPr>
                <w:b/>
                <w:bCs/>
              </w:rPr>
              <w:t xml:space="preserve">Data Classification and Handling</w:t>
            </w:r>
          </w:p>
        </w:tc>
        <w:tc>
          <w:tcPr/>
          <w:p>
            <w:pPr>
              <w:pStyle w:val="Compact"/>
            </w:pPr>
            <w:r>
              <w:t xml:space="preserve">CUI markings, GCC-only sharing, Purview sensitivity labels</w:t>
            </w:r>
          </w:p>
        </w:tc>
        <w:tc>
          <w:tcPr/>
          <w:p>
            <w:pPr>
              <w:pStyle w:val="Compact"/>
            </w:pPr>
            <w:r>
              <w:t xml:space="preserve">Vol III Book 05, CUI policy</w:t>
            </w:r>
          </w:p>
        </w:tc>
      </w:tr>
      <w:tr>
        <w:tc>
          <w:tcPr/>
          <w:p>
            <w:pPr>
              <w:pStyle w:val="Compact"/>
            </w:pPr>
            <w:r>
              <w:rPr>
                <w:b/>
                <w:bCs/>
              </w:rPr>
              <w:t xml:space="preserve">Incident Reporting</w:t>
            </w:r>
          </w:p>
        </w:tc>
        <w:tc>
          <w:tcPr/>
          <w:p>
            <w:pPr>
              <w:pStyle w:val="Compact"/>
            </w:pPr>
            <w:r>
              <w:t xml:space="preserve">How to report a suspected incident; SOC contact; IR playbook entry points</w:t>
            </w:r>
          </w:p>
        </w:tc>
        <w:tc>
          <w:tcPr/>
          <w:p>
            <w:pPr>
              <w:pStyle w:val="Compact"/>
            </w:pPr>
            <w:r>
              <w:t xml:space="preserve">IR-6, Vol III Book 06</w:t>
            </w:r>
          </w:p>
        </w:tc>
      </w:tr>
      <w:tr>
        <w:tc>
          <w:tcPr/>
          <w:p>
            <w:pPr>
              <w:pStyle w:val="Compact"/>
            </w:pPr>
            <w:r>
              <w:rPr>
                <w:b/>
                <w:bCs/>
              </w:rPr>
              <w:t xml:space="preserve">Acceptable Use and Legal</w:t>
            </w:r>
          </w:p>
        </w:tc>
        <w:tc>
          <w:tcPr/>
          <w:p>
            <w:pPr>
              <w:pStyle w:val="Compact"/>
            </w:pPr>
            <w:r>
              <w:t xml:space="preserve">System use notice acknowledgment; FISMA obligations; personal device policy</w:t>
            </w:r>
          </w:p>
        </w:tc>
        <w:tc>
          <w:tcPr/>
          <w:p>
            <w:pPr>
              <w:pStyle w:val="Compact"/>
            </w:pPr>
            <w:r>
              <w:t xml:space="preserve">PL-4, AC-8</w:t>
            </w:r>
          </w:p>
        </w:tc>
      </w:tr>
      <w:tr>
        <w:tc>
          <w:tcPr/>
          <w:p>
            <w:pPr>
              <w:pStyle w:val="Compact"/>
            </w:pPr>
            <w:r>
              <w:rPr>
                <w:b/>
                <w:bCs/>
              </w:rPr>
              <w:t xml:space="preserve">Remote Work Security</w:t>
            </w:r>
          </w:p>
        </w:tc>
        <w:tc>
          <w:tcPr/>
          <w:p>
            <w:pPr>
              <w:pStyle w:val="Compact"/>
            </w:pPr>
            <w:r>
              <w:t xml:space="preserve">VPN, ZTNA, home network risks, shoulder surfing</w:t>
            </w:r>
          </w:p>
        </w:tc>
        <w:tc>
          <w:tcPr/>
          <w:p>
            <w:pPr>
              <w:pStyle w:val="Compact"/>
            </w:pPr>
            <w:r>
              <w:t xml:space="preserve">AC-17, Vol I Book 06</w:t>
            </w:r>
          </w:p>
        </w:tc>
      </w:tr>
    </w:tbl>
    <w:bookmarkEnd w:id="18"/>
    <w:bookmarkStart w:id="19" w:name="delivery-options-for-gcc-moderate"/>
    <w:p>
      <w:pPr>
        <w:pStyle w:val="Heading2"/>
      </w:pPr>
      <w:r>
        <w:t xml:space="preserve">3.2 Delivery Options for GCC Moderate</w:t>
      </w:r>
    </w:p>
    <w:p>
      <w:pPr>
        <w:pStyle w:val="FirstParagraph"/>
      </w:pPr>
      <w:r>
        <w:t xml:space="preserve">Federal agencies operating in GCC Moderate have several compliant delivery</w:t>
      </w:r>
      <w:r>
        <w:t xml:space="preserve"> </w:t>
      </w:r>
      <w:r>
        <w:t xml:space="preserve">options for general awareness training:</w:t>
      </w:r>
    </w:p>
    <w:p>
      <w:pPr>
        <w:pStyle w:val="TableCaption"/>
      </w:pPr>
      <w:r>
        <w:t xml:space="preserve">AT-2 Delivery Platform Options — GCC Moderate</w:t>
      </w:r>
    </w:p>
    <w:tbl>
      <w:tblPr>
        <w:tblStyle w:val="Table"/>
        <w:tblW w:type="pct" w:w="5000"/>
        <w:tblLayout w:type="fixed"/>
        <w:tblLook w:firstRow="1" w:lastRow="0" w:firstColumn="0" w:lastColumn="0" w:noHBand="0" w:noVBand="0" w:val="0020"/>
        <w:tblCaption w:val="AT-2 Delivery Platform Options — GCC Moderate"/>
      </w:tblPr>
      <w:tblGrid>
        <w:gridCol w:w="1584"/>
        <w:gridCol w:w="2692"/>
        <w:gridCol w:w="950"/>
        <w:gridCol w:w="2692"/>
      </w:tblGrid>
      <w:tr>
        <w:trPr>
          <w:tblHeader w:val="on"/>
        </w:trPr>
        <w:tc>
          <w:tcPr/>
          <w:p>
            <w:pPr>
              <w:pStyle w:val="Compact"/>
            </w:pPr>
            <w:r>
              <w:t xml:space="preserve">Platform</w:t>
            </w:r>
          </w:p>
        </w:tc>
        <w:tc>
          <w:tcPr/>
          <w:p>
            <w:pPr>
              <w:pStyle w:val="Compact"/>
            </w:pPr>
            <w:r>
              <w:t xml:space="preserve">GCC Availability</w:t>
            </w:r>
          </w:p>
        </w:tc>
        <w:tc>
          <w:tcPr/>
          <w:p>
            <w:pPr>
              <w:pStyle w:val="Compact"/>
            </w:pPr>
            <w:r>
              <w:t xml:space="preserve">Cost</w:t>
            </w:r>
          </w:p>
        </w:tc>
        <w:tc>
          <w:tcPr/>
          <w:p>
            <w:pPr>
              <w:pStyle w:val="Compact"/>
            </w:pPr>
            <w:r>
              <w:t xml:space="preserve">Evidence Format</w:t>
            </w:r>
          </w:p>
        </w:tc>
      </w:tr>
      <w:tr>
        <w:tc>
          <w:tcPr/>
          <w:p>
            <w:pPr>
              <w:pStyle w:val="Compact"/>
            </w:pPr>
            <w:r>
              <w:rPr>
                <w:b/>
                <w:bCs/>
              </w:rPr>
              <w:t xml:space="preserve">Microsoft Viva Learning</w:t>
            </w:r>
          </w:p>
        </w:tc>
        <w:tc>
          <w:tcPr/>
          <w:p>
            <w:pPr>
              <w:pStyle w:val="Compact"/>
            </w:pPr>
            <w:r>
              <w:t xml:space="preserve">Native GCC / GCC High</w:t>
            </w:r>
          </w:p>
        </w:tc>
        <w:tc>
          <w:tcPr/>
          <w:p>
            <w:pPr>
              <w:pStyle w:val="Compact"/>
            </w:pPr>
            <w:r>
              <w:t xml:space="preserve">M365 E3/E5 included</w:t>
            </w:r>
          </w:p>
        </w:tc>
        <w:tc>
          <w:tcPr/>
          <w:p>
            <w:pPr>
              <w:pStyle w:val="Compact"/>
            </w:pPr>
            <w:r>
              <w:t xml:space="preserve">JSON via Graph API; exports to governance substrate directly</w:t>
            </w:r>
          </w:p>
        </w:tc>
      </w:tr>
      <w:tr>
        <w:tc>
          <w:tcPr/>
          <w:p>
            <w:pPr>
              <w:pStyle w:val="Compact"/>
            </w:pPr>
            <w:r>
              <w:rPr>
                <w:b/>
                <w:bCs/>
              </w:rPr>
              <w:t xml:space="preserve">DoD Cyber Awareness Challenge</w:t>
            </w:r>
          </w:p>
        </w:tc>
        <w:tc>
          <w:tcPr/>
          <w:p>
            <w:pPr>
              <w:pStyle w:val="Compact"/>
            </w:pPr>
            <w:r>
              <w:t xml:space="preserve">Free; DoD-approved; GCC accessible</w:t>
            </w:r>
          </w:p>
        </w:tc>
        <w:tc>
          <w:tcPr/>
          <w:p>
            <w:pPr>
              <w:pStyle w:val="Compact"/>
            </w:pPr>
            <w:r>
              <w:t xml:space="preserve">Free</w:t>
            </w:r>
          </w:p>
        </w:tc>
        <w:tc>
          <w:tcPr/>
          <w:p>
            <w:pPr>
              <w:pStyle w:val="Compact"/>
            </w:pPr>
            <w:r>
              <w:t xml:space="preserve">ATCTS completion certificate (PDF/CSV export)</w:t>
            </w:r>
          </w:p>
        </w:tc>
      </w:tr>
      <w:tr>
        <w:tc>
          <w:tcPr/>
          <w:p>
            <w:pPr>
              <w:pStyle w:val="Compact"/>
            </w:pPr>
            <w:r>
              <w:rPr>
                <w:b/>
                <w:bCs/>
              </w:rPr>
              <w:t xml:space="preserve">CISA Cybersecurity Training</w:t>
            </w:r>
          </w:p>
        </w:tc>
        <w:tc>
          <w:tcPr/>
          <w:p>
            <w:pPr>
              <w:pStyle w:val="Compact"/>
            </w:pPr>
            <w:r>
              <w:t xml:space="preserve">free.cisa.gov; public access</w:t>
            </w:r>
          </w:p>
        </w:tc>
        <w:tc>
          <w:tcPr/>
          <w:p>
            <w:pPr>
              <w:pStyle w:val="Compact"/>
            </w:pPr>
            <w:r>
              <w:t xml:space="preserve">Free</w:t>
            </w:r>
          </w:p>
        </w:tc>
        <w:tc>
          <w:tcPr/>
          <w:p>
            <w:pPr>
              <w:pStyle w:val="Compact"/>
            </w:pPr>
            <w:r>
              <w:t xml:space="preserve">Manual transcript; requires AT-4 manual entry</w:t>
            </w:r>
          </w:p>
        </w:tc>
      </w:tr>
      <w:tr>
        <w:tc>
          <w:tcPr/>
          <w:p>
            <w:pPr>
              <w:pStyle w:val="Compact"/>
            </w:pPr>
            <w:r>
              <w:rPr>
                <w:b/>
                <w:bCs/>
              </w:rPr>
              <w:t xml:space="preserve">KnowBe4 / Proofpoint</w:t>
            </w:r>
          </w:p>
        </w:tc>
        <w:tc>
          <w:tcPr/>
          <w:p>
            <w:pPr>
              <w:pStyle w:val="Compact"/>
            </w:pPr>
            <w:r>
              <w:t xml:space="preserve">Commercial; GCC-compatible deployments</w:t>
            </w:r>
          </w:p>
        </w:tc>
        <w:tc>
          <w:tcPr/>
          <w:p>
            <w:pPr>
              <w:pStyle w:val="Compact"/>
            </w:pPr>
            <w:r>
              <w:t xml:space="preserve">Licensed</w:t>
            </w:r>
          </w:p>
        </w:tc>
        <w:tc>
          <w:tcPr/>
          <w:p>
            <w:pPr>
              <w:pStyle w:val="Compact"/>
            </w:pPr>
            <w:r>
              <w:t xml:space="preserve">API or CSV export; FedRAMP Moderate authorized</w:t>
            </w:r>
          </w:p>
        </w:tc>
      </w:tr>
      <w:tr>
        <w:tc>
          <w:tcPr/>
          <w:p>
            <w:pPr>
              <w:pStyle w:val="Compact"/>
            </w:pPr>
            <w:r>
              <w:rPr>
                <w:b/>
                <w:bCs/>
              </w:rPr>
              <w:t xml:space="preserve">SANS Security Awareness</w:t>
            </w:r>
          </w:p>
        </w:tc>
        <w:tc>
          <w:tcPr/>
          <w:p>
            <w:pPr>
              <w:pStyle w:val="Compact"/>
            </w:pPr>
            <w:r>
              <w:t xml:space="preserve">Commercial; FedRAMP-authorized</w:t>
            </w:r>
          </w:p>
        </w:tc>
        <w:tc>
          <w:tcPr/>
          <w:p>
            <w:pPr>
              <w:pStyle w:val="Compact"/>
            </w:pPr>
            <w:r>
              <w:t xml:space="preserve">Licensed</w:t>
            </w:r>
          </w:p>
        </w:tc>
        <w:tc>
          <w:tcPr/>
          <w:p>
            <w:pPr>
              <w:pStyle w:val="Compact"/>
            </w:pPr>
            <w:r>
              <w:t xml:space="preserve">API export; direct governance substrate integration possible</w:t>
            </w:r>
          </w:p>
        </w:tc>
      </w:tr>
    </w:tbl>
    <w:p>
      <w:pPr>
        <w:pStyle w:val="BodyText"/>
      </w:pPr>
      <w:r>
        <w:rPr>
          <w:b/>
          <w:bCs/>
        </w:rPr>
        <w:t xml:space="preserve">Recommended:</w:t>
      </w:r>
      <w:r>
        <w:t xml:space="preserve"> </w:t>
      </w:r>
      <w:r>
        <w:t xml:space="preserve">Microsoft Viva Learning for organizations already on M365</w:t>
      </w:r>
      <w:r>
        <w:t xml:space="preserve"> </w:t>
      </w:r>
      <w:r>
        <w:t xml:space="preserve">E3/E5 GCC. The Microsoft Graph API provides a structured JSON export of</w:t>
      </w:r>
      <w:r>
        <w:t xml:space="preserve"> </w:t>
      </w:r>
      <w:r>
        <w:t xml:space="preserve">completion records that maps directly to the AT-4 evidence schema and can</w:t>
      </w:r>
      <w:r>
        <w:t xml:space="preserve"> </w:t>
      </w:r>
      <w:r>
        <w:t xml:space="preserve">be automated into the governance substrate on a monthly pull cadence.</w:t>
      </w:r>
    </w:p>
    <w:p>
      <w:pPr>
        <w:pStyle w:val="BlockText"/>
      </w:pPr>
      <w:r>
        <w:rPr>
          <w:b/>
          <w:bCs/>
        </w:rPr>
        <w:t xml:space="preserve">The evidence contract is LMS-agnostic; Viva Learning is the current</w:t>
      </w:r>
      <w:r>
        <w:rPr>
          <w:b/>
          <w:bCs/>
        </w:rPr>
        <w:t xml:space="preserve"> </w:t>
      </w:r>
      <w:r>
        <w:rPr>
          <w:b/>
          <w:bCs/>
        </w:rPr>
        <w:t xml:space="preserve">adapter, not the contract.</w:t>
      </w:r>
      <w:r>
        <w:t xml:space="preserve"> </w:t>
      </w:r>
      <w:r>
        <w:t xml:space="preserve">KSI-CED-RAT is satisfied by the</w:t>
      </w:r>
      <w:r>
        <w:t xml:space="preserve"> </w:t>
      </w:r>
      <w:r>
        <w:rPr>
          <w:rStyle w:val="VerbatimChar"/>
        </w:rPr>
        <w:t xml:space="preserve">governance.training-effectiveness-record</w:t>
      </w:r>
      <w:r>
        <w:t xml:space="preserve"> </w:t>
      </w:r>
      <w:r>
        <w:t xml:space="preserve">JSON schema — any LMS in the</w:t>
      </w:r>
      <w:r>
        <w:t xml:space="preserve"> </w:t>
      </w:r>
      <w:r>
        <w:t xml:space="preserve">table above that can populate that schema satisfies the control identically.</w:t>
      </w:r>
      <w:r>
        <w:t xml:space="preserve"> </w:t>
      </w:r>
      <w:r>
        <w:t xml:space="preserve">This distinction is deliberate concentration-risk management: Microsoft has</w:t>
      </w:r>
      <w:r>
        <w:t xml:space="preserve"> </w:t>
      </w:r>
      <w:r>
        <w:t xml:space="preserve">retired other Viva components (Viva Goals, December 2025; Viva Topics,</w:t>
      </w:r>
      <w:r>
        <w:t xml:space="preserve"> </w:t>
      </w:r>
      <w:r>
        <w:t xml:space="preserve">February 2025) while redirecting investment toward Copilot, and although</w:t>
      </w:r>
      <w:r>
        <w:t xml:space="preserve"> </w:t>
      </w:r>
      <w:r>
        <w:t xml:space="preserve">Viva Learning itself is not retired, the evidence pipeline must not assume</w:t>
      </w:r>
      <w:r>
        <w:t xml:space="preserve"> </w:t>
      </w:r>
      <w:r>
        <w:t xml:space="preserve">its permanence.</w:t>
      </w:r>
      <w:r>
        <w:t xml:space="preserve"> </w:t>
      </w:r>
      <w:r>
        <w:rPr>
          <w:b/>
          <w:bCs/>
        </w:rPr>
        <w:t xml:space="preserve">Verify Viva Learning GCC feature parity at time of</w:t>
      </w:r>
      <w:r>
        <w:rPr>
          <w:b/>
          <w:bCs/>
        </w:rPr>
        <w:t xml:space="preserve"> </w:t>
      </w:r>
      <w:r>
        <w:rPr>
          <w:b/>
          <w:bCs/>
        </w:rPr>
        <w:t xml:space="preserve">deployment</w:t>
      </w:r>
      <w:r>
        <w:t xml:space="preserve">, and treat an LMS swap as an adapter change (new export</w:t>
      </w:r>
      <w:r>
        <w:t xml:space="preserve"> </w:t>
      </w:r>
      <w:r>
        <w:t xml:space="preserve">mapping), not a control change.</w:t>
      </w:r>
    </w:p>
    <w:bookmarkEnd w:id="19"/>
    <w:bookmarkStart w:id="20" w:name="phishing-simulation-at-21"/>
    <w:p>
      <w:pPr>
        <w:pStyle w:val="Heading2"/>
      </w:pPr>
      <w:r>
        <w:t xml:space="preserve">3.3 Phishing Simulation (AT-2(1))</w:t>
      </w:r>
    </w:p>
    <w:p>
      <w:pPr>
        <w:pStyle w:val="FirstParagraph"/>
      </w:pPr>
      <w:r>
        <w:t xml:space="preserve">Practical exercises are required under AT-2(1). Phishing simulation is the</w:t>
      </w:r>
      <w:r>
        <w:t xml:space="preserve"> </w:t>
      </w:r>
      <w:r>
        <w:t xml:space="preserve">standard federal mechanism. The simulation program must:</w:t>
      </w:r>
    </w:p>
    <w:p>
      <w:pPr>
        <w:pStyle w:val="Compact"/>
        <w:numPr>
          <w:ilvl w:val="0"/>
          <w:numId w:val="1002"/>
        </w:numPr>
      </w:pPr>
      <w:r>
        <w:t xml:space="preserve">Run at minimum</w:t>
      </w:r>
      <w:r>
        <w:t xml:space="preserve"> </w:t>
      </w:r>
      <w:r>
        <w:rPr>
          <w:b/>
          <w:bCs/>
        </w:rPr>
        <w:t xml:space="preserve">quarterly</w:t>
      </w:r>
      <w:r>
        <w:t xml:space="preserve"> </w:t>
      </w:r>
      <w:r>
        <w:t xml:space="preserve">campaigns across the full user population</w:t>
      </w:r>
    </w:p>
    <w:p>
      <w:pPr>
        <w:pStyle w:val="Compact"/>
        <w:numPr>
          <w:ilvl w:val="0"/>
          <w:numId w:val="1002"/>
        </w:numPr>
      </w:pPr>
      <w:r>
        <w:t xml:space="preserve">Track click rate, report rate, and training completion for those who</w:t>
      </w:r>
      <w:r>
        <w:t xml:space="preserve"> </w:t>
      </w:r>
      <w:r>
        <w:t xml:space="preserve">click (remedial training trigger)</w:t>
      </w:r>
    </w:p>
    <w:p>
      <w:pPr>
        <w:pStyle w:val="Compact"/>
        <w:numPr>
          <w:ilvl w:val="0"/>
          <w:numId w:val="1002"/>
        </w:numPr>
      </w:pPr>
      <w:r>
        <w:t xml:space="preserve">Export results in a structured format tied to user identity (not just</w:t>
      </w:r>
      <w:r>
        <w:t xml:space="preserve"> </w:t>
      </w:r>
      <w:r>
        <w:t xml:space="preserve">aggregate statistics) for AT-4 purposes</w:t>
      </w:r>
    </w:p>
    <w:p>
      <w:pPr>
        <w:pStyle w:val="Compact"/>
        <w:numPr>
          <w:ilvl w:val="0"/>
          <w:numId w:val="1002"/>
        </w:numPr>
      </w:pPr>
      <w:r>
        <w:t xml:space="preserve">Scenarios must include GCC-tenant spoof patterns — attackers impersonating</w:t>
      </w:r>
      <w:r>
        <w:t xml:space="preserve"> </w:t>
      </w:r>
      <w:r>
        <w:rPr>
          <w:rStyle w:val="VerbatimChar"/>
        </w:rPr>
        <w:t xml:space="preserve">.mil</w:t>
      </w:r>
      <w:r>
        <w:t xml:space="preserve"> </w:t>
      </w:r>
      <w:r>
        <w:t xml:space="preserve">or</w:t>
      </w:r>
      <w:r>
        <w:t xml:space="preserve"> </w:t>
      </w:r>
      <w:r>
        <w:rPr>
          <w:rStyle w:val="VerbatimChar"/>
        </w:rPr>
        <w:t xml:space="preserve">.gov</w:t>
      </w:r>
      <w:r>
        <w:t xml:space="preserve"> </w:t>
      </w:r>
      <w:r>
        <w:t xml:space="preserve">domains, or spoofing legitimate Microsoft 365 service</w:t>
      </w:r>
      <w:r>
        <w:t xml:space="preserve"> </w:t>
      </w:r>
      <w:r>
        <w:t xml:space="preserve">notifications</w:t>
      </w:r>
    </w:p>
    <w:p>
      <w:pPr>
        <w:pStyle w:val="FirstParagraph"/>
      </w:pPr>
      <w:r>
        <w:rPr>
          <w:b/>
          <w:bCs/>
        </w:rPr>
        <w:t xml:space="preserve">GCC Moderate options:</w:t>
      </w:r>
      <w:r>
        <w:t xml:space="preserve"> </w:t>
      </w:r>
      <w:r>
        <w:t xml:space="preserve">Microsoft Attack Simulator (Defender for Office</w:t>
      </w:r>
      <w:r>
        <w:t xml:space="preserve"> </w:t>
      </w:r>
      <w:r>
        <w:t xml:space="preserve">365 Plan 2, included in M365 E5 GCC) or KnowBe4 GCC-compatible deployment.</w:t>
      </w:r>
    </w:p>
    <w:p>
      <w:r>
        <w:pict>
          <v:rect style="width:0;height:1.5pt" o:hralign="center" o:hrstd="t" o:hr="t"/>
        </w:pict>
      </w:r>
    </w:p>
    <w:bookmarkEnd w:id="20"/>
    <w:bookmarkEnd w:id="21"/>
    <w:bookmarkStart w:id="26" w:name="dimension-2-role-based-training-at-3"/>
    <w:p>
      <w:pPr>
        <w:pStyle w:val="Heading1"/>
      </w:pPr>
      <w:r>
        <w:t xml:space="preserve">4. Dimension 2 — Role-Based Training (AT-3)</w:t>
      </w:r>
    </w:p>
    <w:bookmarkStart w:id="22" w:name="role-classification-and-training-matrix"/>
    <w:p>
      <w:pPr>
        <w:pStyle w:val="Heading2"/>
      </w:pPr>
      <w:r>
        <w:t xml:space="preserve">4.1 Role Classification and Training Matrix</w:t>
      </w:r>
    </w:p>
    <w:p>
      <w:pPr>
        <w:pStyle w:val="FirstParagraph"/>
      </w:pPr>
      <w:r>
        <w:t xml:space="preserve">AT-3 requires specialized training for personnel with assigned security</w:t>
      </w:r>
      <w:r>
        <w:t xml:space="preserve"> </w:t>
      </w:r>
      <w:r>
        <w:t xml:space="preserve">responsibilities. For FedRAMP 20x, this means any role that has elevated</w:t>
      </w:r>
      <w:r>
        <w:t xml:space="preserve"> </w:t>
      </w:r>
      <w:r>
        <w:t xml:space="preserve">access, system administration duties, or security-relevant functions. The</w:t>
      </w:r>
      <w:r>
        <w:t xml:space="preserve"> </w:t>
      </w:r>
      <w:r>
        <w:t xml:space="preserve">following six role tiers cover the GCC Moderate environment:</w:t>
      </w:r>
    </w:p>
    <w:p>
      <w:pPr>
        <w:pStyle w:val="TableCaption"/>
      </w:pPr>
      <w:r>
        <w:t xml:space="preserve">AT-3 Role-Based Training Matrix</w:t>
      </w:r>
    </w:p>
    <w:tbl>
      <w:tblPr>
        <w:tblStyle w:val="Table"/>
        <w:tblW w:type="pct" w:w="5000"/>
        <w:tblLayout w:type="fixed"/>
        <w:tblLook w:firstRow="1" w:lastRow="0" w:firstColumn="0" w:lastColumn="0" w:noHBand="0" w:noVBand="0" w:val="0020"/>
        <w:tblCaption w:val="AT-3 Role-Based Training Matrix"/>
      </w:tblPr>
      <w:tblGrid>
        <w:gridCol w:w="1361"/>
        <w:gridCol w:w="1237"/>
        <w:gridCol w:w="2598"/>
        <w:gridCol w:w="1361"/>
        <w:gridCol w:w="1361"/>
      </w:tblGrid>
      <w:tr>
        <w:trPr>
          <w:tblHeader w:val="on"/>
        </w:trPr>
        <w:tc>
          <w:tcPr/>
          <w:p>
            <w:pPr>
              <w:pStyle w:val="Compact"/>
            </w:pPr>
            <w:r>
              <w:t xml:space="preserve">Role Tier</w:t>
            </w:r>
          </w:p>
        </w:tc>
        <w:tc>
          <w:tcPr/>
          <w:p>
            <w:pPr>
              <w:pStyle w:val="Compact"/>
            </w:pPr>
            <w:r>
              <w:t xml:space="preserve">Examples</w:t>
            </w:r>
          </w:p>
        </w:tc>
        <w:tc>
          <w:tcPr/>
          <w:p>
            <w:pPr>
              <w:pStyle w:val="Compact"/>
            </w:pPr>
            <w:r>
              <w:t xml:space="preserve">Training Requirement</w:t>
            </w:r>
          </w:p>
        </w:tc>
        <w:tc>
          <w:tcPr/>
          <w:p>
            <w:pPr>
              <w:pStyle w:val="Compact"/>
            </w:pPr>
            <w:r>
              <w:t xml:space="preserve">Frequency</w:t>
            </w:r>
          </w:p>
        </w:tc>
        <w:tc>
          <w:tcPr/>
          <w:p>
            <w:pPr>
              <w:pStyle w:val="Compact"/>
            </w:pPr>
            <w:r>
              <w:t xml:space="preserve">Hours/Year</w:t>
            </w:r>
          </w:p>
        </w:tc>
      </w:tr>
      <w:tr>
        <w:tc>
          <w:tcPr/>
          <w:p>
            <w:pPr>
              <w:pStyle w:val="Compact"/>
            </w:pPr>
            <w:r>
              <w:rPr>
                <w:b/>
                <w:bCs/>
              </w:rPr>
              <w:t xml:space="preserve">Tier 1 — System Administrators</w:t>
            </w:r>
          </w:p>
        </w:tc>
        <w:tc>
          <w:tcPr/>
          <w:p>
            <w:pPr>
              <w:pStyle w:val="Compact"/>
            </w:pPr>
            <w:r>
              <w:t xml:space="preserve">Cloud admins, network engineers, InfoBlox admins, Entra Global Admins</w:t>
            </w:r>
          </w:p>
        </w:tc>
        <w:tc>
          <w:tcPr/>
          <w:p>
            <w:pPr>
              <w:pStyle w:val="Compact"/>
            </w:pPr>
            <w:r>
              <w:t xml:space="preserve">Azure Security fundamentals, Entra ID hardening, InfoBlox DDI security, Sentinel administration</w:t>
            </w:r>
          </w:p>
        </w:tc>
        <w:tc>
          <w:tcPr/>
          <w:p>
            <w:pPr>
              <w:pStyle w:val="Compact"/>
            </w:pPr>
            <w:r>
              <w:t xml:space="preserve">Annual + on new tool deployment</w:t>
            </w:r>
          </w:p>
        </w:tc>
        <w:tc>
          <w:tcPr/>
          <w:p>
            <w:pPr>
              <w:pStyle w:val="Compact"/>
            </w:pPr>
            <w:r>
              <w:t xml:space="preserve">24–40 hrs</w:t>
            </w:r>
          </w:p>
        </w:tc>
      </w:tr>
      <w:tr>
        <w:tc>
          <w:tcPr/>
          <w:p>
            <w:pPr>
              <w:pStyle w:val="Compact"/>
            </w:pPr>
            <w:r>
              <w:rPr>
                <w:b/>
                <w:bCs/>
              </w:rPr>
              <w:t xml:space="preserve">Tier 2 — Privileged Access Users</w:t>
            </w:r>
          </w:p>
        </w:tc>
        <w:tc>
          <w:tcPr/>
          <w:p>
            <w:pPr>
              <w:pStyle w:val="Compact"/>
            </w:pPr>
            <w:r>
              <w:t xml:space="preserve">PAW users, JIT-eligible roles, CyberArk vault users</w:t>
            </w:r>
          </w:p>
        </w:tc>
        <w:tc>
          <w:tcPr/>
          <w:p>
            <w:pPr>
              <w:pStyle w:val="Compact"/>
            </w:pPr>
            <w:r>
              <w:t xml:space="preserve">PAW architecture, Entra PIM workflow, session recording awareness</w:t>
            </w:r>
          </w:p>
        </w:tc>
        <w:tc>
          <w:tcPr/>
          <w:p>
            <w:pPr>
              <w:pStyle w:val="Compact"/>
            </w:pPr>
            <w:r>
              <w:t xml:space="preserve">Annual</w:t>
            </w:r>
          </w:p>
        </w:tc>
        <w:tc>
          <w:tcPr/>
          <w:p>
            <w:pPr>
              <w:pStyle w:val="Compact"/>
            </w:pPr>
            <w:r>
              <w:t xml:space="preserve">8–16 hrs</w:t>
            </w:r>
          </w:p>
        </w:tc>
      </w:tr>
      <w:tr>
        <w:tc>
          <w:tcPr/>
          <w:p>
            <w:pPr>
              <w:pStyle w:val="Compact"/>
            </w:pPr>
            <w:r>
              <w:rPr>
                <w:b/>
                <w:bCs/>
              </w:rPr>
              <w:t xml:space="preserve">Tier 3 — Developers / Engineers</w:t>
            </w:r>
          </w:p>
        </w:tc>
        <w:tc>
          <w:tcPr/>
          <w:p>
            <w:pPr>
              <w:pStyle w:val="Compact"/>
            </w:pPr>
            <w:r>
              <w:t xml:space="preserve">Application developers, DevSecOps engineers, pipeline owners</w:t>
            </w:r>
          </w:p>
        </w:tc>
        <w:tc>
          <w:tcPr/>
          <w:p>
            <w:pPr>
              <w:pStyle w:val="Compact"/>
            </w:pPr>
            <w:r>
              <w:t xml:space="preserve">Secure coding (OWASP Top 10), SBOM generation, dependency scanning, GitHub Actions security</w:t>
            </w:r>
          </w:p>
        </w:tc>
        <w:tc>
          <w:tcPr/>
          <w:p>
            <w:pPr>
              <w:pStyle w:val="Compact"/>
            </w:pPr>
            <w:r>
              <w:t xml:space="preserve">Annual + quarterly lab</w:t>
            </w:r>
          </w:p>
        </w:tc>
        <w:tc>
          <w:tcPr/>
          <w:p>
            <w:pPr>
              <w:pStyle w:val="Compact"/>
            </w:pPr>
            <w:r>
              <w:t xml:space="preserve">24–40 hrs</w:t>
            </w:r>
          </w:p>
        </w:tc>
      </w:tr>
      <w:tr>
        <w:tc>
          <w:tcPr/>
          <w:p>
            <w:pPr>
              <w:pStyle w:val="Compact"/>
            </w:pPr>
            <w:r>
              <w:rPr>
                <w:b/>
                <w:bCs/>
              </w:rPr>
              <w:t xml:space="preserve">Tier 4 — Incident Responders</w:t>
            </w:r>
          </w:p>
        </w:tc>
        <w:tc>
          <w:tcPr/>
          <w:p>
            <w:pPr>
              <w:pStyle w:val="Compact"/>
            </w:pPr>
            <w:r>
              <w:t xml:space="preserve">SOC analysts, IR team members, Sentinel operators</w:t>
            </w:r>
          </w:p>
        </w:tc>
        <w:tc>
          <w:tcPr/>
          <w:p>
            <w:pPr>
              <w:pStyle w:val="Compact"/>
            </w:pPr>
            <w:r>
              <w:t xml:space="preserve">KQL query writing, Sentinel playbook operation, IR procedure walkthroughs</w:t>
            </w:r>
          </w:p>
        </w:tc>
        <w:tc>
          <w:tcPr/>
          <w:p>
            <w:pPr>
              <w:pStyle w:val="Compact"/>
            </w:pPr>
            <w:r>
              <w:t xml:space="preserve">Semi-annual</w:t>
            </w:r>
          </w:p>
        </w:tc>
        <w:tc>
          <w:tcPr/>
          <w:p>
            <w:pPr>
              <w:pStyle w:val="Compact"/>
            </w:pPr>
            <w:r>
              <w:t xml:space="preserve">16–24 hrs</w:t>
            </w:r>
          </w:p>
        </w:tc>
      </w:tr>
      <w:tr>
        <w:tc>
          <w:tcPr/>
          <w:p>
            <w:pPr>
              <w:pStyle w:val="Compact"/>
            </w:pPr>
            <w:r>
              <w:rPr>
                <w:b/>
                <w:bCs/>
              </w:rPr>
              <w:t xml:space="preserve">Tier 5 — Data Stewards</w:t>
            </w:r>
          </w:p>
        </w:tc>
        <w:tc>
          <w:tcPr/>
          <w:p>
            <w:pPr>
              <w:pStyle w:val="Compact"/>
            </w:pPr>
            <w:r>
              <w:t xml:space="preserve">Records managers, HR system owners, PII processors</w:t>
            </w:r>
          </w:p>
        </w:tc>
        <w:tc>
          <w:tcPr/>
          <w:p>
            <w:pPr>
              <w:pStyle w:val="Compact"/>
            </w:pPr>
            <w:r>
              <w:t xml:space="preserve">CUI handling, Purview DLP policies, sensitivity label application, SORN obligations</w:t>
            </w:r>
          </w:p>
        </w:tc>
        <w:tc>
          <w:tcPr/>
          <w:p>
            <w:pPr>
              <w:pStyle w:val="Compact"/>
            </w:pPr>
            <w:r>
              <w:t xml:space="preserve">Annual</w:t>
            </w:r>
          </w:p>
        </w:tc>
        <w:tc>
          <w:tcPr/>
          <w:p>
            <w:pPr>
              <w:pStyle w:val="Compact"/>
            </w:pPr>
            <w:r>
              <w:t xml:space="preserve">8–12 hrs</w:t>
            </w:r>
          </w:p>
        </w:tc>
      </w:tr>
      <w:tr>
        <w:tc>
          <w:tcPr/>
          <w:p>
            <w:pPr>
              <w:pStyle w:val="Compact"/>
            </w:pPr>
            <w:r>
              <w:rPr>
                <w:b/>
                <w:bCs/>
              </w:rPr>
              <w:t xml:space="preserve">Tier 6 — Executives / Program Managers</w:t>
            </w:r>
          </w:p>
        </w:tc>
        <w:tc>
          <w:tcPr/>
          <w:p>
            <w:pPr>
              <w:pStyle w:val="Compact"/>
            </w:pPr>
            <w:r>
              <w:t xml:space="preserve">AO, PM, ISSM, COR, Contracting Officer</w:t>
            </w:r>
          </w:p>
        </w:tc>
        <w:tc>
          <w:tcPr/>
          <w:p>
            <w:pPr>
              <w:pStyle w:val="Compact"/>
            </w:pPr>
            <w:r>
              <w:t xml:space="preserve">Risk posture briefing, FedRAMP 20x obligation overview, POA&amp;M review process</w:t>
            </w:r>
          </w:p>
        </w:tc>
        <w:tc>
          <w:tcPr/>
          <w:p>
            <w:pPr>
              <w:pStyle w:val="Compact"/>
            </w:pPr>
            <w:r>
              <w:t xml:space="preserve">Annual</w:t>
            </w:r>
          </w:p>
        </w:tc>
        <w:tc>
          <w:tcPr/>
          <w:p>
            <w:pPr>
              <w:pStyle w:val="Compact"/>
            </w:pPr>
            <w:r>
              <w:t xml:space="preserve">4–8 hrs</w:t>
            </w:r>
          </w:p>
        </w:tc>
      </w:tr>
    </w:tbl>
    <w:bookmarkEnd w:id="22"/>
    <w:bookmarkStart w:id="23" w:name="Xfd0b000aec447b86bfc3b1b5410e379cf51221b"/>
    <w:p>
      <w:pPr>
        <w:pStyle w:val="Heading2"/>
      </w:pPr>
      <w:r>
        <w:t xml:space="preserve">4.2 Tier 1 — System Administrator Training Curriculum</w:t>
      </w:r>
    </w:p>
    <w:p>
      <w:pPr>
        <w:pStyle w:val="FirstParagraph"/>
      </w:pPr>
      <w:r>
        <w:t xml:space="preserve">System administrators represent the highest-risk role category in a FedRAMP</w:t>
      </w:r>
      <w:r>
        <w:t xml:space="preserve"> </w:t>
      </w:r>
      <w:r>
        <w:t xml:space="preserve">Moderate environment. Their training curriculum must cover the specific</w:t>
      </w:r>
      <w:r>
        <w:t xml:space="preserve"> </w:t>
      </w:r>
      <w:r>
        <w:t xml:space="preserve">technologies deployed in this series:</w:t>
      </w:r>
    </w:p>
    <w:p>
      <w:pPr>
        <w:pStyle w:val="TableCaption"/>
      </w:pPr>
      <w:r>
        <w:t xml:space="preserve">Tier 1 Sysadmin Training — Compliance-Aligned Curriculum</w:t>
      </w:r>
    </w:p>
    <w:tbl>
      <w:tblPr>
        <w:tblStyle w:val="Table"/>
        <w:tblW w:type="pct" w:w="5000"/>
        <w:tblLayout w:type="fixed"/>
        <w:tblLook w:firstRow="1" w:lastRow="0" w:firstColumn="0" w:lastColumn="0" w:noHBand="0" w:noVBand="0" w:val="0020"/>
        <w:tblCaption w:val="Tier 1 Sysadmin Training — Compliance-Aligned Curriculum"/>
      </w:tblPr>
      <w:tblGrid>
        <w:gridCol w:w="2941"/>
        <w:gridCol w:w="2036"/>
        <w:gridCol w:w="2941"/>
      </w:tblGrid>
      <w:tr>
        <w:trPr>
          <w:tblHeader w:val="on"/>
        </w:trPr>
        <w:tc>
          <w:tcPr/>
          <w:p>
            <w:pPr>
              <w:pStyle w:val="Compact"/>
            </w:pPr>
            <w:r>
              <w:t xml:space="preserve">Course Area</w:t>
            </w:r>
          </w:p>
        </w:tc>
        <w:tc>
          <w:tcPr/>
          <w:p>
            <w:pPr>
              <w:pStyle w:val="Compact"/>
            </w:pPr>
            <w:r>
              <w:t xml:space="preserve">Content</w:t>
            </w:r>
          </w:p>
        </w:tc>
        <w:tc>
          <w:tcPr/>
          <w:p>
            <w:pPr>
              <w:pStyle w:val="Compact"/>
            </w:pPr>
            <w:r>
              <w:t xml:space="preserve">Connects To</w:t>
            </w:r>
          </w:p>
        </w:tc>
      </w:tr>
      <w:tr>
        <w:tc>
          <w:tcPr/>
          <w:p>
            <w:pPr>
              <w:pStyle w:val="Compact"/>
            </w:pPr>
            <w:r>
              <w:t xml:space="preserve">InfoBlox DDI Security</w:t>
            </w:r>
          </w:p>
        </w:tc>
        <w:tc>
          <w:tcPr/>
          <w:p>
            <w:pPr>
              <w:pStyle w:val="Compact"/>
            </w:pPr>
            <w:r>
              <w:t xml:space="preserve">DNSSEC key management, RPZ rule maintenance, IPAM audit log review</w:t>
            </w:r>
          </w:p>
        </w:tc>
        <w:tc>
          <w:tcPr/>
          <w:p>
            <w:pPr>
              <w:pStyle w:val="Compact"/>
            </w:pPr>
            <w:r>
              <w:t xml:space="preserve">Vol I Book 01</w:t>
            </w:r>
          </w:p>
        </w:tc>
      </w:tr>
      <w:tr>
        <w:tc>
          <w:tcPr/>
          <w:p>
            <w:pPr>
              <w:pStyle w:val="Compact"/>
            </w:pPr>
            <w:r>
              <w:t xml:space="preserve">SD-WAN / SASE Administration</w:t>
            </w:r>
          </w:p>
        </w:tc>
        <w:tc>
          <w:tcPr/>
          <w:p>
            <w:pPr>
              <w:pStyle w:val="Compact"/>
            </w:pPr>
            <w:r>
              <w:t xml:space="preserve">IPsec key rotation, SASE policy updates, DIA circuit failover procedures</w:t>
            </w:r>
          </w:p>
        </w:tc>
        <w:tc>
          <w:tcPr/>
          <w:p>
            <w:pPr>
              <w:pStyle w:val="Compact"/>
            </w:pPr>
            <w:r>
              <w:t xml:space="preserve">Vol I Book 06</w:t>
            </w:r>
          </w:p>
        </w:tc>
      </w:tr>
      <w:tr>
        <w:tc>
          <w:tcPr/>
          <w:p>
            <w:pPr>
              <w:pStyle w:val="Compact"/>
            </w:pPr>
            <w:r>
              <w:t xml:space="preserve">Entra ID and Conditional Access</w:t>
            </w:r>
          </w:p>
        </w:tc>
        <w:tc>
          <w:tcPr/>
          <w:p>
            <w:pPr>
              <w:pStyle w:val="Compact"/>
            </w:pPr>
            <w:r>
              <w:t xml:space="preserve">Conditional Access policy design, MFA enforcement exceptions, break-glass account procedures</w:t>
            </w:r>
          </w:p>
        </w:tc>
        <w:tc>
          <w:tcPr/>
          <w:p>
            <w:pPr>
              <w:pStyle w:val="Compact"/>
            </w:pPr>
            <w:r>
              <w:t xml:space="preserve">Vol I Book 05</w:t>
            </w:r>
          </w:p>
        </w:tc>
      </w:tr>
      <w:tr>
        <w:tc>
          <w:tcPr/>
          <w:p>
            <w:pPr>
              <w:pStyle w:val="Compact"/>
            </w:pPr>
            <w:r>
              <w:t xml:space="preserve">Azure Arc and SQL Security</w:t>
            </w:r>
          </w:p>
        </w:tc>
        <w:tc>
          <w:tcPr/>
          <w:p>
            <w:pPr>
              <w:pStyle w:val="Compact"/>
            </w:pPr>
            <w:r>
              <w:t xml:space="preserve">Managed Identity token lifecycle, Arc extension updates, SQL login audit review</w:t>
            </w:r>
          </w:p>
        </w:tc>
        <w:tc>
          <w:tcPr/>
          <w:p>
            <w:pPr>
              <w:pStyle w:val="Compact"/>
            </w:pPr>
            <w:r>
              <w:t xml:space="preserve">Vol II Books 01–02</w:t>
            </w:r>
          </w:p>
        </w:tc>
      </w:tr>
      <w:tr>
        <w:tc>
          <w:tcPr/>
          <w:p>
            <w:pPr>
              <w:pStyle w:val="Compact"/>
            </w:pPr>
            <w:r>
              <w:t xml:space="preserve">Microsoft Sentinel Operations</w:t>
            </w:r>
          </w:p>
        </w:tc>
        <w:tc>
          <w:tcPr/>
          <w:p>
            <w:pPr>
              <w:pStyle w:val="Compact"/>
            </w:pPr>
            <w:r>
              <w:t xml:space="preserve">Connector health monitoring, analytics rule tuning, UEBA threshold calibration</w:t>
            </w:r>
          </w:p>
        </w:tc>
        <w:tc>
          <w:tcPr/>
          <w:p>
            <w:pPr>
              <w:pStyle w:val="Compact"/>
            </w:pPr>
            <w:r>
              <w:t xml:space="preserve">Vol III Book 06</w:t>
            </w:r>
          </w:p>
        </w:tc>
      </w:tr>
      <w:tr>
        <w:tc>
          <w:tcPr/>
          <w:p>
            <w:pPr>
              <w:pStyle w:val="Compact"/>
            </w:pPr>
            <w:r>
              <w:t xml:space="preserve">Privileged Access Management</w:t>
            </w:r>
          </w:p>
        </w:tc>
        <w:tc>
          <w:tcPr/>
          <w:p>
            <w:pPr>
              <w:pStyle w:val="Compact"/>
            </w:pPr>
            <w:r>
              <w:t xml:space="preserve">Entra PIM role activation, PAW maintenance, JIT request approval</w:t>
            </w:r>
          </w:p>
        </w:tc>
        <w:tc>
          <w:tcPr/>
          <w:p>
            <w:pPr>
              <w:pStyle w:val="Compact"/>
            </w:pPr>
            <w:r>
              <w:t xml:space="preserve">Vol III Book 01</w:t>
            </w:r>
          </w:p>
        </w:tc>
      </w:tr>
      <w:tr>
        <w:tc>
          <w:tcPr/>
          <w:p>
            <w:pPr>
              <w:pStyle w:val="Compact"/>
            </w:pPr>
            <w:r>
              <w:t xml:space="preserve">Vulnerability Management</w:t>
            </w:r>
          </w:p>
        </w:tc>
        <w:tc>
          <w:tcPr/>
          <w:p>
            <w:pPr>
              <w:pStyle w:val="Compact"/>
            </w:pPr>
            <w:r>
              <w:t xml:space="preserve">Defender MDVM dashboard interpretation, KEV remediation SLA tracking, WUfB ring management</w:t>
            </w:r>
          </w:p>
        </w:tc>
        <w:tc>
          <w:tcPr/>
          <w:p>
            <w:pPr>
              <w:pStyle w:val="Compact"/>
            </w:pPr>
            <w:r>
              <w:t xml:space="preserve">Vol III Book 02</w:t>
            </w:r>
          </w:p>
        </w:tc>
      </w:tr>
      <w:tr>
        <w:tc>
          <w:tcPr/>
          <w:p>
            <w:pPr>
              <w:pStyle w:val="Compact"/>
            </w:pPr>
            <w:r>
              <w:t xml:space="preserve">Backup and DR Operations</w:t>
            </w:r>
          </w:p>
        </w:tc>
        <w:tc>
          <w:tcPr/>
          <w:p>
            <w:pPr>
              <w:pStyle w:val="Compact"/>
            </w:pPr>
            <w:r>
              <w:t xml:space="preserve">Azure Site Recovery test procedures, SQL AG failover validation, RTO/RPO measurement</w:t>
            </w:r>
          </w:p>
        </w:tc>
        <w:tc>
          <w:tcPr/>
          <w:p>
            <w:pPr>
              <w:pStyle w:val="Compact"/>
            </w:pPr>
            <w:r>
              <w:t xml:space="preserve">Vol IV Book 01</w:t>
            </w:r>
          </w:p>
        </w:tc>
      </w:tr>
    </w:tbl>
    <w:bookmarkEnd w:id="23"/>
    <w:bookmarkStart w:id="24" w:name="Xaefdbf171dcd76c80ec202950dd7b3cb01c3f2d"/>
    <w:p>
      <w:pPr>
        <w:pStyle w:val="Heading2"/>
      </w:pPr>
      <w:r>
        <w:t xml:space="preserve">4.3 Tier 3 — Developer / Engineer Secure Delivery Training (AT-3, AT-3(3))</w:t>
      </w:r>
    </w:p>
    <w:p>
      <w:pPr>
        <w:pStyle w:val="FirstParagraph"/>
      </w:pPr>
      <w:r>
        <w:t xml:space="preserve">Developer training under AT-3 and AT-3(3) covers the secure delivery</w:t>
      </w:r>
      <w:r>
        <w:t xml:space="preserve"> </w:t>
      </w:r>
      <w:r>
        <w:t xml:space="preserve">practices established by the SBOM/VDR pipeline in Vol IV Book 02 (Supply Chain Risk Management):</w:t>
      </w:r>
    </w:p>
    <w:p>
      <w:pPr>
        <w:pStyle w:val="TableCaption"/>
      </w:pPr>
      <w:r>
        <w:t xml:space="preserve">Tier 3 Developer Secure Delivery Curriculum</w:t>
      </w:r>
    </w:p>
    <w:tbl>
      <w:tblPr>
        <w:tblStyle w:val="Table"/>
        <w:tblW w:type="pct" w:w="5000"/>
        <w:tblLayout w:type="fixed"/>
        <w:tblLook w:firstRow="1" w:lastRow="0" w:firstColumn="0" w:lastColumn="0" w:noHBand="0" w:noVBand="0" w:val="0020"/>
        <w:tblCaption w:val="Tier 3 Developer Secure Delivery Curriculum"/>
      </w:tblPr>
      <w:tblGrid>
        <w:gridCol w:w="1584"/>
        <w:gridCol w:w="2036"/>
        <w:gridCol w:w="4299"/>
      </w:tblGrid>
      <w:tr>
        <w:trPr>
          <w:tblHeader w:val="on"/>
        </w:trPr>
        <w:tc>
          <w:tcPr/>
          <w:p>
            <w:pPr>
              <w:pStyle w:val="Compact"/>
            </w:pPr>
            <w:r>
              <w:t xml:space="preserve">Topic</w:t>
            </w:r>
          </w:p>
        </w:tc>
        <w:tc>
          <w:tcPr/>
          <w:p>
            <w:pPr>
              <w:pStyle w:val="Compact"/>
            </w:pPr>
            <w:r>
              <w:t xml:space="preserve">Content</w:t>
            </w:r>
          </w:p>
        </w:tc>
        <w:tc>
          <w:tcPr/>
          <w:p>
            <w:pPr>
              <w:pStyle w:val="Compact"/>
            </w:pPr>
            <w:r>
              <w:t xml:space="preserve">Evidence Produced</w:t>
            </w:r>
          </w:p>
        </w:tc>
      </w:tr>
      <w:tr>
        <w:tc>
          <w:tcPr/>
          <w:p>
            <w:pPr>
              <w:pStyle w:val="Compact"/>
            </w:pPr>
            <w:r>
              <w:rPr>
                <w:b/>
                <w:bCs/>
              </w:rPr>
              <w:t xml:space="preserve">Dependency Management</w:t>
            </w:r>
          </w:p>
        </w:tc>
        <w:tc>
          <w:tcPr/>
          <w:p>
            <w:pPr>
              <w:pStyle w:val="Compact"/>
            </w:pPr>
            <w:r>
              <w:t xml:space="preserve">Pinning dependencies, evaluating transitive dependencies, understanding VDR/VEX fields</w:t>
            </w:r>
          </w:p>
        </w:tc>
        <w:tc>
          <w:tcPr/>
          <w:p>
            <w:pPr>
              <w:pStyle w:val="Compact"/>
            </w:pPr>
            <w:r>
              <w:t xml:space="preserve">SBOM generation fluency</w:t>
            </w:r>
          </w:p>
        </w:tc>
      </w:tr>
      <w:tr>
        <w:tc>
          <w:tcPr/>
          <w:p>
            <w:pPr>
              <w:pStyle w:val="Compact"/>
            </w:pPr>
            <w:r>
              <w:rPr>
                <w:b/>
                <w:bCs/>
              </w:rPr>
              <w:t xml:space="preserve">SBOM Generation (Syft)</w:t>
            </w:r>
          </w:p>
        </w:tc>
        <w:tc>
          <w:tcPr/>
          <w:p>
            <w:pPr>
              <w:pStyle w:val="Compact"/>
            </w:pPr>
            <w:r>
              <w:t xml:space="preserve">Running Syft against container images and repositories, CycloneDX format, attestation signing</w:t>
            </w:r>
          </w:p>
        </w:tc>
        <w:tc>
          <w:tcPr/>
          <w:p>
            <w:pPr>
              <w:pStyle w:val="Compact"/>
            </w:pPr>
            <w:r>
              <w:t xml:space="preserve">Vol IV Book 02 pipeline competency</w:t>
            </w:r>
          </w:p>
        </w:tc>
      </w:tr>
      <w:tr>
        <w:tc>
          <w:tcPr/>
          <w:p>
            <w:pPr>
              <w:pStyle w:val="Compact"/>
            </w:pPr>
            <w:r>
              <w:rPr>
                <w:b/>
                <w:bCs/>
              </w:rPr>
              <w:t xml:space="preserve">Vulnerability Triage (Grype)</w:t>
            </w:r>
          </w:p>
        </w:tc>
        <w:tc>
          <w:tcPr/>
          <w:p>
            <w:pPr>
              <w:pStyle w:val="Compact"/>
            </w:pPr>
            <w:r>
              <w:t xml:space="preserve">Interpreting Grype output, VEX exploitability assertions, BOD 26-04 D1–D5 SLA obligations</w:t>
            </w:r>
          </w:p>
        </w:tc>
        <w:tc>
          <w:tcPr/>
          <w:p>
            <w:pPr>
              <w:pStyle w:val="Compact"/>
            </w:pPr>
            <w:r>
              <w:t xml:space="preserve">Vol IV Book 02 pipeline competency</w:t>
            </w:r>
          </w:p>
        </w:tc>
      </w:tr>
      <w:tr>
        <w:tc>
          <w:tcPr/>
          <w:p>
            <w:pPr>
              <w:pStyle w:val="Compact"/>
            </w:pPr>
            <w:r>
              <w:rPr>
                <w:b/>
                <w:bCs/>
              </w:rPr>
              <w:t xml:space="preserve">GitHub Actions Security</w:t>
            </w:r>
          </w:p>
        </w:tc>
        <w:tc>
          <w:tcPr/>
          <w:p>
            <w:pPr>
              <w:pStyle w:val="Compact"/>
            </w:pPr>
            <w:r>
              <w:t xml:space="preserve">Secrets management, workflow permissions, OIDC token scoping, supply chain attack patterns</w:t>
            </w:r>
          </w:p>
        </w:tc>
        <w:tc>
          <w:tcPr/>
          <w:p>
            <w:pPr>
              <w:pStyle w:val="Compact"/>
            </w:pPr>
            <w:r>
              <w:t xml:space="preserve">Vol IV Book 02 pipeline integrity</w:t>
            </w:r>
          </w:p>
        </w:tc>
      </w:tr>
      <w:tr>
        <w:tc>
          <w:tcPr/>
          <w:p>
            <w:pPr>
              <w:pStyle w:val="Compact"/>
            </w:pPr>
            <w:r>
              <w:rPr>
                <w:b/>
                <w:bCs/>
              </w:rPr>
              <w:t xml:space="preserve">OWASP Top 10</w:t>
            </w:r>
          </w:p>
        </w:tc>
        <w:tc>
          <w:tcPr/>
          <w:p>
            <w:pPr>
              <w:pStyle w:val="Compact"/>
            </w:pPr>
            <w:r>
              <w:t xml:space="preserve">Injection, broken access control, cryptographic failures, XSS patterns</w:t>
            </w:r>
          </w:p>
        </w:tc>
        <w:tc>
          <w:tcPr/>
          <w:p>
            <w:pPr>
              <w:pStyle w:val="Compact"/>
            </w:pPr>
            <w:r>
              <w:t xml:space="preserve">SA-11, SA-15</w:t>
            </w:r>
          </w:p>
        </w:tc>
      </w:tr>
      <w:tr>
        <w:tc>
          <w:tcPr/>
          <w:p>
            <w:pPr>
              <w:pStyle w:val="Compact"/>
            </w:pPr>
            <w:r>
              <w:rPr>
                <w:b/>
                <w:bCs/>
              </w:rPr>
              <w:t xml:space="preserve">Secure Code Review</w:t>
            </w:r>
          </w:p>
        </w:tc>
        <w:tc>
          <w:tcPr/>
          <w:p>
            <w:pPr>
              <w:pStyle w:val="Compact"/>
            </w:pPr>
            <w:r>
              <w:t xml:space="preserve">What to look for in pull request review, dependency diff review</w:t>
            </w:r>
          </w:p>
        </w:tc>
        <w:tc>
          <w:tcPr/>
          <w:p>
            <w:pPr>
              <w:pStyle w:val="Compact"/>
            </w:pPr>
            <w:r>
              <w:t xml:space="preserve">SA-11(1)</w:t>
            </w:r>
          </w:p>
        </w:tc>
      </w:tr>
      <w:tr>
        <w:tc>
          <w:tcPr/>
          <w:p>
            <w:pPr>
              <w:pStyle w:val="Compact"/>
            </w:pPr>
            <w:r>
              <w:rPr>
                <w:b/>
                <w:bCs/>
              </w:rPr>
              <w:t xml:space="preserve">Incident Reporting from Dev</w:t>
            </w:r>
          </w:p>
        </w:tc>
        <w:tc>
          <w:tcPr/>
          <w:p>
            <w:pPr>
              <w:pStyle w:val="Compact"/>
            </w:pPr>
            <w:r>
              <w:t xml:space="preserve">How to report a suspected supply chain event; who to contact</w:t>
            </w:r>
          </w:p>
        </w:tc>
        <w:tc>
          <w:tcPr/>
          <w:p>
            <w:pPr>
              <w:pStyle w:val="Compact"/>
            </w:pPr>
            <w:r>
              <w:t xml:space="preserve">IR-6, Vol III Book 06</w:t>
            </w:r>
          </w:p>
        </w:tc>
      </w:tr>
    </w:tbl>
    <w:bookmarkEnd w:id="24"/>
    <w:bookmarkStart w:id="25" w:name="tier-5-data-steward-training-at-35"/>
    <w:p>
      <w:pPr>
        <w:pStyle w:val="Heading2"/>
      </w:pPr>
      <w:r>
        <w:t xml:space="preserve">4.4 Tier 5 — Data Steward Training (AT-3(5))</w:t>
      </w:r>
    </w:p>
    <w:p>
      <w:pPr>
        <w:pStyle w:val="FirstParagraph"/>
      </w:pPr>
      <w:r>
        <w:t xml:space="preserve">AT-3(5) requires training for personnel who process personally identifiable</w:t>
      </w:r>
      <w:r>
        <w:t xml:space="preserve"> </w:t>
      </w:r>
      <w:r>
        <w:t xml:space="preserve">information. This connects to Vol IV Book 04 (PII Processing and Transparency):</w:t>
      </w:r>
    </w:p>
    <w:p>
      <w:pPr>
        <w:pStyle w:val="Compact"/>
        <w:numPr>
          <w:ilvl w:val="0"/>
          <w:numId w:val="1003"/>
        </w:numPr>
      </w:pPr>
      <w:r>
        <w:rPr>
          <w:b/>
          <w:bCs/>
        </w:rPr>
        <w:t xml:space="preserve">Purview sensitivity label application</w:t>
      </w:r>
      <w:r>
        <w:t xml:space="preserve"> </w:t>
      </w:r>
      <w:r>
        <w:t xml:space="preserve">— when to apply which label,</w:t>
      </w:r>
      <w:r>
        <w:t xml:space="preserve"> </w:t>
      </w:r>
      <w:r>
        <w:t xml:space="preserve">how auto-labeling works, and what happens when a document is shared</w:t>
      </w:r>
    </w:p>
    <w:p>
      <w:pPr>
        <w:pStyle w:val="Compact"/>
        <w:numPr>
          <w:ilvl w:val="0"/>
          <w:numId w:val="1003"/>
        </w:numPr>
      </w:pPr>
      <w:r>
        <w:rPr>
          <w:b/>
          <w:bCs/>
        </w:rPr>
        <w:t xml:space="preserve">DLP policy understanding</w:t>
      </w:r>
      <w:r>
        <w:t xml:space="preserve"> </w:t>
      </w:r>
      <w:r>
        <w:t xml:space="preserve">— what the DLP policies in Vol III Book 05 block</w:t>
      </w:r>
      <w:r>
        <w:t xml:space="preserve"> </w:t>
      </w:r>
      <w:r>
        <w:t xml:space="preserve">and why, so data stewards don’t attempt workarounds</w:t>
      </w:r>
    </w:p>
    <w:p>
      <w:pPr>
        <w:pStyle w:val="Compact"/>
        <w:numPr>
          <w:ilvl w:val="0"/>
          <w:numId w:val="1003"/>
        </w:numPr>
      </w:pPr>
      <w:r>
        <w:rPr>
          <w:b/>
          <w:bCs/>
        </w:rPr>
        <w:t xml:space="preserve">SORN and PIA obligations</w:t>
      </w:r>
      <w:r>
        <w:t xml:space="preserve"> </w:t>
      </w:r>
      <w:r>
        <w:t xml:space="preserve">— what triggers a Privacy Impact Assessment,</w:t>
      </w:r>
      <w:r>
        <w:t xml:space="preserve"> </w:t>
      </w:r>
      <w:r>
        <w:t xml:space="preserve">how to initiate one, and the role of the System of Records Notice</w:t>
      </w:r>
    </w:p>
    <w:p>
      <w:pPr>
        <w:pStyle w:val="Compact"/>
        <w:numPr>
          <w:ilvl w:val="0"/>
          <w:numId w:val="1003"/>
        </w:numPr>
      </w:pPr>
      <w:r>
        <w:rPr>
          <w:b/>
          <w:bCs/>
        </w:rPr>
        <w:t xml:space="preserve">Breach notification procedure</w:t>
      </w:r>
      <w:r>
        <w:t xml:space="preserve"> </w:t>
      </w:r>
      <w:r>
        <w:t xml:space="preserve">— what constitutes a PII breach, the</w:t>
      </w:r>
      <w:r>
        <w:t xml:space="preserve"> </w:t>
      </w:r>
      <w:r>
        <w:t xml:space="preserve">72-hour reporting window, and the SOC notification path</w:t>
      </w:r>
    </w:p>
    <w:p>
      <w:r>
        <w:pict>
          <v:rect style="width:0;height:1.5pt" o:hralign="center" o:hrstd="t" o:hr="t"/>
        </w:pict>
      </w:r>
    </w:p>
    <w:bookmarkEnd w:id="25"/>
    <w:bookmarkEnd w:id="26"/>
    <w:bookmarkStart w:id="29" w:name="dimension-3-secure-delivery-training"/>
    <w:p>
      <w:pPr>
        <w:pStyle w:val="Heading1"/>
      </w:pPr>
      <w:r>
        <w:t xml:space="preserve">5. Dimension 3 — Secure Delivery Training</w:t>
      </w:r>
    </w:p>
    <w:bookmarkStart w:id="27" w:name="X1c51bfe054b14667a58a313c7807b0592ee1b17"/>
    <w:p>
      <w:pPr>
        <w:pStyle w:val="Heading2"/>
      </w:pPr>
      <w:r>
        <w:t xml:space="preserve">5.1 Developer Security in the FedRAMP 20x Context</w:t>
      </w:r>
    </w:p>
    <w:p>
      <w:pPr>
        <w:pStyle w:val="FirstParagraph"/>
      </w:pPr>
      <w:r>
        <w:t xml:space="preserve">FedRAMP 20x KSI-PIY-RSD (</w:t>
      </w:r>
      <w:r>
        <w:t xml:space="preserve">“Reviewing Security in the SDLC”</w:t>
      </w:r>
      <w:r>
        <w:t xml:space="preserve">) — activated</w:t>
      </w:r>
      <w:r>
        <w:t xml:space="preserve"> </w:t>
      </w:r>
      <w:r>
        <w:t xml:space="preserve">by Vol IV Book 02’s SBOM pipeline and Vol III Book 02’s Defender VM integration — requires</w:t>
      </w:r>
      <w:r>
        <w:t xml:space="preserve"> </w:t>
      </w:r>
      <w:r>
        <w:t xml:space="preserve">that security is reviewed throughout the software delivery process. Training</w:t>
      </w:r>
      <w:r>
        <w:t xml:space="preserve"> </w:t>
      </w:r>
      <w:r>
        <w:t xml:space="preserve">is the human layer of that review: developers who understand what Syft</w:t>
      </w:r>
      <w:r>
        <w:t xml:space="preserve"> </w:t>
      </w:r>
      <w:r>
        <w:t xml:space="preserve">produces, what Grype flags, and what a VEX assertion means will engage with</w:t>
      </w:r>
      <w:r>
        <w:t xml:space="preserve"> </w:t>
      </w:r>
      <w:r>
        <w:t xml:space="preserve">the automated pipeline as partners rather than treating it as a compliance</w:t>
      </w:r>
      <w:r>
        <w:t xml:space="preserve"> </w:t>
      </w:r>
      <w:r>
        <w:t xml:space="preserve">hurdle.</w:t>
      </w:r>
    </w:p>
    <w:p>
      <w:pPr>
        <w:pStyle w:val="BodyText"/>
      </w:pPr>
      <w:r>
        <w:t xml:space="preserve">The secure delivery training program connects KSI-PIY-RSD evidence</w:t>
      </w:r>
      <w:r>
        <w:t xml:space="preserve"> </w:t>
      </w:r>
      <w:r>
        <w:t xml:space="preserve">(Vol IV Book 02) with the human competency layer (this document). Together they</w:t>
      </w:r>
      <w:r>
        <w:t xml:space="preserve"> </w:t>
      </w:r>
      <w:r>
        <w:t xml:space="preserve">satisfy the full CR26 intent: automated scanning provides the</w:t>
      </w:r>
      <w:r>
        <w:t xml:space="preserve"> </w:t>
      </w:r>
      <w:r>
        <w:t xml:space="preserve">machine-readable signal; trained developers make the triage decisions that</w:t>
      </w:r>
      <w:r>
        <w:t xml:space="preserve"> </w:t>
      </w:r>
      <w:r>
        <w:t xml:space="preserve">determine whether findings are remediated or suppressed with a justified</w:t>
      </w:r>
      <w:r>
        <w:t xml:space="preserve"> </w:t>
      </w:r>
      <w:r>
        <w:t xml:space="preserve">exploitability assertion.</w:t>
      </w:r>
    </w:p>
    <w:bookmarkEnd w:id="27"/>
    <w:bookmarkStart w:id="28" w:name="training-delivery-for-developers"/>
    <w:p>
      <w:pPr>
        <w:pStyle w:val="Heading2"/>
      </w:pPr>
      <w:r>
        <w:t xml:space="preserve">5.2 Training Delivery for Developers</w:t>
      </w:r>
    </w:p>
    <w:p>
      <w:pPr>
        <w:pStyle w:val="FirstParagraph"/>
      </w:pPr>
      <w:r>
        <w:t xml:space="preserve">Developer training must be practical, not lecture-based. Effective formats:</w:t>
      </w:r>
    </w:p>
    <w:p>
      <w:pPr>
        <w:pStyle w:val="TableCaption"/>
      </w:pPr>
      <w:r>
        <w:t xml:space="preserve">Secure Delivery Training Formats</w:t>
      </w:r>
    </w:p>
    <w:tbl>
      <w:tblPr>
        <w:tblStyle w:val="Table"/>
        <w:tblW w:type="pct" w:w="5000"/>
        <w:tblLayout w:type="fixed"/>
        <w:tblLook w:firstRow="1" w:lastRow="0" w:firstColumn="0" w:lastColumn="0" w:noHBand="0" w:noVBand="0" w:val="0020"/>
        <w:tblCaption w:val="Secure Delivery Training Formats"/>
      </w:tblPr>
      <w:tblGrid>
        <w:gridCol w:w="1760"/>
        <w:gridCol w:w="1980"/>
        <w:gridCol w:w="4180"/>
      </w:tblGrid>
      <w:tr>
        <w:trPr>
          <w:tblHeader w:val="on"/>
        </w:trPr>
        <w:tc>
          <w:tcPr/>
          <w:p>
            <w:pPr>
              <w:pStyle w:val="Compact"/>
            </w:pPr>
            <w:r>
              <w:t xml:space="preserve">Format</w:t>
            </w:r>
          </w:p>
        </w:tc>
        <w:tc>
          <w:tcPr/>
          <w:p>
            <w:pPr>
              <w:pStyle w:val="Compact"/>
            </w:pPr>
            <w:r>
              <w:t xml:space="preserve">Purpose</w:t>
            </w:r>
          </w:p>
        </w:tc>
        <w:tc>
          <w:tcPr/>
          <w:p>
            <w:pPr>
              <w:pStyle w:val="Compact"/>
            </w:pPr>
            <w:r>
              <w:t xml:space="preserve">Minimum Frequency</w:t>
            </w:r>
          </w:p>
        </w:tc>
      </w:tr>
      <w:tr>
        <w:tc>
          <w:tcPr/>
          <w:p>
            <w:pPr>
              <w:pStyle w:val="Compact"/>
            </w:pPr>
            <w:r>
              <w:rPr>
                <w:b/>
                <w:bCs/>
              </w:rPr>
              <w:t xml:space="preserve">Hands-on SBOM lab</w:t>
            </w:r>
          </w:p>
        </w:tc>
        <w:tc>
          <w:tcPr/>
          <w:p>
            <w:pPr>
              <w:pStyle w:val="Compact"/>
            </w:pPr>
            <w:r>
              <w:t xml:space="preserve">Generate a CycloneDX SBOM from a real repository; inspect the output</w:t>
            </w:r>
          </w:p>
        </w:tc>
        <w:tc>
          <w:tcPr/>
          <w:p>
            <w:pPr>
              <w:pStyle w:val="Compact"/>
            </w:pPr>
            <w:r>
              <w:t xml:space="preserve">Annual</w:t>
            </w:r>
          </w:p>
        </w:tc>
      </w:tr>
      <w:tr>
        <w:tc>
          <w:tcPr/>
          <w:p>
            <w:pPr>
              <w:pStyle w:val="Compact"/>
            </w:pPr>
            <w:r>
              <w:rPr>
                <w:b/>
                <w:bCs/>
              </w:rPr>
              <w:t xml:space="preserve">Grype triage exercise</w:t>
            </w:r>
          </w:p>
        </w:tc>
        <w:tc>
          <w:tcPr/>
          <w:p>
            <w:pPr>
              <w:pStyle w:val="Compact"/>
            </w:pPr>
            <w:r>
              <w:t xml:space="preserve">Given a Grype scan result, classify findings and write VEX assertions</w:t>
            </w:r>
          </w:p>
        </w:tc>
        <w:tc>
          <w:tcPr/>
          <w:p>
            <w:pPr>
              <w:pStyle w:val="Compact"/>
            </w:pPr>
            <w:r>
              <w:t xml:space="preserve">Annual</w:t>
            </w:r>
          </w:p>
        </w:tc>
      </w:tr>
      <w:tr>
        <w:tc>
          <w:tcPr/>
          <w:p>
            <w:pPr>
              <w:pStyle w:val="Compact"/>
            </w:pPr>
            <w:r>
              <w:rPr>
                <w:b/>
                <w:bCs/>
              </w:rPr>
              <w:t xml:space="preserve">Secure code review session</w:t>
            </w:r>
          </w:p>
        </w:tc>
        <w:tc>
          <w:tcPr/>
          <w:p>
            <w:pPr>
              <w:pStyle w:val="Compact"/>
            </w:pPr>
            <w:r>
              <w:t xml:space="preserve">Pair review of a deliberately vulnerable PR; identify and remediate</w:t>
            </w:r>
          </w:p>
        </w:tc>
        <w:tc>
          <w:tcPr/>
          <w:p>
            <w:pPr>
              <w:pStyle w:val="Compact"/>
            </w:pPr>
            <w:r>
              <w:t xml:space="preserve">Quarterly</w:t>
            </w:r>
          </w:p>
        </w:tc>
      </w:tr>
      <w:tr>
        <w:tc>
          <w:tcPr/>
          <w:p>
            <w:pPr>
              <w:pStyle w:val="Compact"/>
            </w:pPr>
            <w:r>
              <w:rPr>
                <w:b/>
                <w:bCs/>
              </w:rPr>
              <w:t xml:space="preserve">Supply chain scenario tabletop</w:t>
            </w:r>
          </w:p>
        </w:tc>
        <w:tc>
          <w:tcPr/>
          <w:p>
            <w:pPr>
              <w:pStyle w:val="Compact"/>
            </w:pPr>
            <w:r>
              <w:t xml:space="preserve">What do we do if a critical dependency is compromised?</w:t>
            </w:r>
          </w:p>
        </w:tc>
        <w:tc>
          <w:tcPr/>
          <w:p>
            <w:pPr>
              <w:pStyle w:val="Compact"/>
            </w:pPr>
            <w:r>
              <w:t xml:space="preserve">Annual with IR tabletop</w:t>
            </w:r>
          </w:p>
        </w:tc>
      </w:tr>
      <w:tr>
        <w:tc>
          <w:tcPr/>
          <w:p>
            <w:pPr>
              <w:pStyle w:val="Compact"/>
            </w:pPr>
            <w:r>
              <w:rPr>
                <w:b/>
                <w:bCs/>
              </w:rPr>
              <w:t xml:space="preserve">CTF / security challenge</w:t>
            </w:r>
          </w:p>
        </w:tc>
        <w:tc>
          <w:tcPr/>
          <w:p>
            <w:pPr>
              <w:pStyle w:val="Compact"/>
            </w:pPr>
            <w:r>
              <w:t xml:space="preserve">Team-based challenge covering OWASP Top 10 patterns</w:t>
            </w:r>
          </w:p>
        </w:tc>
        <w:tc>
          <w:tcPr/>
          <w:p>
            <w:pPr>
              <w:pStyle w:val="Compact"/>
            </w:pPr>
            <w:r>
              <w:t xml:space="preserve">Annual (optional but high-value)</w:t>
            </w:r>
          </w:p>
        </w:tc>
      </w:tr>
    </w:tbl>
    <w:p>
      <w:r>
        <w:pict>
          <v:rect style="width:0;height:1.5pt" o:hralign="center" o:hrstd="t" o:hr="t"/>
        </w:pict>
      </w:r>
    </w:p>
    <w:bookmarkEnd w:id="28"/>
    <w:bookmarkEnd w:id="29"/>
    <w:bookmarkStart w:id="36" w:name="Xb499a88f9af76ab0e96ffbb4c6bf6f3548f3a95"/>
    <w:p>
      <w:pPr>
        <w:pStyle w:val="Heading1"/>
      </w:pPr>
      <w:r>
        <w:t xml:space="preserve">6. Dimension 4 — Incident Response and DR Training (IR-2, CP-3)</w:t>
      </w:r>
    </w:p>
    <w:bookmarkStart w:id="32" w:name="incident-response-training-ir-2"/>
    <w:p>
      <w:pPr>
        <w:pStyle w:val="Heading2"/>
      </w:pPr>
      <w:r>
        <w:t xml:space="preserve">6.1 Incident Response Training (IR-2)</w:t>
      </w:r>
    </w:p>
    <w:p>
      <w:pPr>
        <w:pStyle w:val="FirstParagraph"/>
      </w:pPr>
      <w:r>
        <w:t xml:space="preserve">IR-2 requires that personnel with incident response responsibilities</w:t>
      </w:r>
      <w:r>
        <w:t xml:space="preserve"> </w:t>
      </w:r>
      <w:r>
        <w:t xml:space="preserve">receive training on their specific roles in the IR plan. This training</w:t>
      </w:r>
      <w:r>
        <w:t xml:space="preserve"> </w:t>
      </w:r>
      <w:r>
        <w:t xml:space="preserve">connects directly to Vol III Book 06 (SIEM/XDR Detection Engineering) — the</w:t>
      </w:r>
      <w:r>
        <w:t xml:space="preserve"> </w:t>
      </w:r>
      <w:r>
        <w:t xml:space="preserve">Sentinel playbooks defined there are the operational tools; this training</w:t>
      </w:r>
      <w:r>
        <w:t xml:space="preserve"> </w:t>
      </w:r>
      <w:r>
        <w:t xml:space="preserve">is what ensures personnel can operate them under pressure.</w:t>
      </w:r>
    </w:p>
    <w:bookmarkStart w:id="30" w:name="ir-training-cadence"/>
    <w:p>
      <w:pPr>
        <w:pStyle w:val="Heading3"/>
      </w:pPr>
      <w:r>
        <w:t xml:space="preserve">6.1.1 IR Training Cadence</w:t>
      </w:r>
    </w:p>
    <w:p>
      <w:pPr>
        <w:pStyle w:val="TableCaption"/>
      </w:pPr>
      <w:r>
        <w:t xml:space="preserve">IR-2 Training Cadence</w:t>
      </w:r>
    </w:p>
    <w:tbl>
      <w:tblPr>
        <w:tblStyle w:val="Table"/>
        <w:tblW w:type="pct" w:w="5000"/>
        <w:tblLayout w:type="fixed"/>
        <w:tblLook w:firstRow="1" w:lastRow="0" w:firstColumn="0" w:lastColumn="0" w:noHBand="0" w:noVBand="0" w:val="0020"/>
        <w:tblCaption w:val="IR-2 Training Cadence"/>
      </w:tblPr>
      <w:tblGrid>
        <w:gridCol w:w="1205"/>
        <w:gridCol w:w="1893"/>
        <w:gridCol w:w="2238"/>
        <w:gridCol w:w="2582"/>
      </w:tblGrid>
      <w:tr>
        <w:trPr>
          <w:tblHeader w:val="on"/>
        </w:trPr>
        <w:tc>
          <w:tcPr/>
          <w:p>
            <w:pPr>
              <w:pStyle w:val="Compact"/>
            </w:pPr>
            <w:r>
              <w:t xml:space="preserve">Event</w:t>
            </w:r>
          </w:p>
        </w:tc>
        <w:tc>
          <w:tcPr/>
          <w:p>
            <w:pPr>
              <w:pStyle w:val="Compact"/>
            </w:pPr>
            <w:r>
              <w:t xml:space="preserve">Frequency</w:t>
            </w:r>
          </w:p>
        </w:tc>
        <w:tc>
          <w:tcPr/>
          <w:p>
            <w:pPr>
              <w:pStyle w:val="Compact"/>
            </w:pPr>
            <w:r>
              <w:t xml:space="preserve">Participants</w:t>
            </w:r>
          </w:p>
        </w:tc>
        <w:tc>
          <w:tcPr/>
          <w:p>
            <w:pPr>
              <w:pStyle w:val="Compact"/>
            </w:pPr>
            <w:r>
              <w:t xml:space="preserve">Documentation</w:t>
            </w:r>
          </w:p>
        </w:tc>
      </w:tr>
      <w:tr>
        <w:tc>
          <w:tcPr/>
          <w:p>
            <w:pPr>
              <w:pStyle w:val="Compact"/>
            </w:pPr>
            <w:r>
              <w:rPr>
                <w:b/>
                <w:bCs/>
              </w:rPr>
              <w:t xml:space="preserve">IR procedure walkthrough</w:t>
            </w:r>
          </w:p>
        </w:tc>
        <w:tc>
          <w:tcPr/>
          <w:p>
            <w:pPr>
              <w:pStyle w:val="Compact"/>
            </w:pPr>
            <w:r>
              <w:t xml:space="preserve">Semi-annual</w:t>
            </w:r>
          </w:p>
        </w:tc>
        <w:tc>
          <w:tcPr/>
          <w:p>
            <w:pPr>
              <w:pStyle w:val="Compact"/>
            </w:pPr>
            <w:r>
              <w:t xml:space="preserve">Full SOC + IR team</w:t>
            </w:r>
          </w:p>
        </w:tc>
        <w:tc>
          <w:tcPr/>
          <w:p>
            <w:pPr>
              <w:pStyle w:val="Compact"/>
            </w:pPr>
            <w:r>
              <w:t xml:space="preserve">Attendance record</w:t>
            </w:r>
          </w:p>
        </w:tc>
      </w:tr>
      <w:tr>
        <w:tc>
          <w:tcPr/>
          <w:p>
            <w:pPr>
              <w:pStyle w:val="Compact"/>
            </w:pPr>
            <w:r>
              <w:rPr>
                <w:b/>
                <w:bCs/>
              </w:rPr>
              <w:t xml:space="preserve">Sentinel playbook drill</w:t>
            </w:r>
          </w:p>
        </w:tc>
        <w:tc>
          <w:tcPr/>
          <w:p>
            <w:pPr>
              <w:pStyle w:val="Compact"/>
            </w:pPr>
            <w:r>
              <w:t xml:space="preserve">Quarterly</w:t>
            </w:r>
          </w:p>
        </w:tc>
        <w:tc>
          <w:tcPr/>
          <w:p>
            <w:pPr>
              <w:pStyle w:val="Compact"/>
            </w:pPr>
            <w:r>
              <w:t xml:space="preserve">SOC analysts</w:t>
            </w:r>
          </w:p>
        </w:tc>
        <w:tc>
          <w:tcPr/>
          <w:p>
            <w:pPr>
              <w:pStyle w:val="Compact"/>
            </w:pPr>
            <w:r>
              <w:t xml:space="preserve">Drill report</w:t>
            </w:r>
          </w:p>
        </w:tc>
      </w:tr>
      <w:tr>
        <w:tc>
          <w:tcPr/>
          <w:p>
            <w:pPr>
              <w:pStyle w:val="Compact"/>
            </w:pPr>
            <w:r>
              <w:rPr>
                <w:b/>
                <w:bCs/>
              </w:rPr>
              <w:t xml:space="preserve">Tabletop — ransomware scenario</w:t>
            </w:r>
          </w:p>
        </w:tc>
        <w:tc>
          <w:tcPr/>
          <w:p>
            <w:pPr>
              <w:pStyle w:val="Compact"/>
            </w:pPr>
            <w:r>
              <w:t xml:space="preserve">Annual</w:t>
            </w:r>
          </w:p>
        </w:tc>
        <w:tc>
          <w:tcPr/>
          <w:p>
            <w:pPr>
              <w:pStyle w:val="Compact"/>
            </w:pPr>
            <w:r>
              <w:t xml:space="preserve">IR team + leadership</w:t>
            </w:r>
          </w:p>
        </w:tc>
        <w:tc>
          <w:tcPr/>
          <w:p>
            <w:pPr>
              <w:pStyle w:val="Compact"/>
            </w:pPr>
            <w:r>
              <w:t xml:space="preserve">After-action report</w:t>
            </w:r>
          </w:p>
        </w:tc>
      </w:tr>
      <w:tr>
        <w:tc>
          <w:tcPr/>
          <w:p>
            <w:pPr>
              <w:pStyle w:val="Compact"/>
            </w:pPr>
            <w:r>
              <w:rPr>
                <w:b/>
                <w:bCs/>
              </w:rPr>
              <w:t xml:space="preserve">Tabletop — supply chain incident</w:t>
            </w:r>
          </w:p>
        </w:tc>
        <w:tc>
          <w:tcPr/>
          <w:p>
            <w:pPr>
              <w:pStyle w:val="Compact"/>
            </w:pPr>
            <w:r>
              <w:t xml:space="preserve">Annual</w:t>
            </w:r>
          </w:p>
        </w:tc>
        <w:tc>
          <w:tcPr/>
          <w:p>
            <w:pPr>
              <w:pStyle w:val="Compact"/>
            </w:pPr>
            <w:r>
              <w:t xml:space="preserve">IR + development + leadership</w:t>
            </w:r>
          </w:p>
        </w:tc>
        <w:tc>
          <w:tcPr/>
          <w:p>
            <w:pPr>
              <w:pStyle w:val="Compact"/>
            </w:pPr>
            <w:r>
              <w:t xml:space="preserve">After-action report</w:t>
            </w:r>
          </w:p>
        </w:tc>
      </w:tr>
      <w:tr>
        <w:tc>
          <w:tcPr/>
          <w:p>
            <w:pPr>
              <w:pStyle w:val="Compact"/>
            </w:pPr>
            <w:r>
              <w:rPr>
                <w:b/>
                <w:bCs/>
              </w:rPr>
              <w:t xml:space="preserve">Full simulation (red/blue)</w:t>
            </w:r>
          </w:p>
        </w:tc>
        <w:tc>
          <w:tcPr/>
          <w:p>
            <w:pPr>
              <w:pStyle w:val="Compact"/>
            </w:pPr>
            <w:r>
              <w:t xml:space="preserve">Annual (recommended)</w:t>
            </w:r>
          </w:p>
        </w:tc>
        <w:tc>
          <w:tcPr/>
          <w:p>
            <w:pPr>
              <w:pStyle w:val="Compact"/>
            </w:pPr>
            <w:r>
              <w:t xml:space="preserve">SOC + sysadmins</w:t>
            </w:r>
          </w:p>
        </w:tc>
        <w:tc>
          <w:tcPr/>
          <w:p>
            <w:pPr>
              <w:pStyle w:val="Compact"/>
            </w:pPr>
            <w:r>
              <w:t xml:space="preserve">Exercise report</w:t>
            </w:r>
          </w:p>
        </w:tc>
      </w:tr>
    </w:tbl>
    <w:bookmarkEnd w:id="30"/>
    <w:bookmarkStart w:id="31" w:name="ir-scenario-library"/>
    <w:p>
      <w:pPr>
        <w:pStyle w:val="Heading3"/>
      </w:pPr>
      <w:r>
        <w:t xml:space="preserve">6.1.2 IR Scenario Library</w:t>
      </w:r>
    </w:p>
    <w:p>
      <w:pPr>
        <w:pStyle w:val="FirstParagraph"/>
      </w:pPr>
      <w:r>
        <w:t xml:space="preserve">The SOC maintains a scenario library that is updated after each real incident</w:t>
      </w:r>
      <w:r>
        <w:t xml:space="preserve"> </w:t>
      </w:r>
      <w:r>
        <w:t xml:space="preserve">and after each after-action review. Minimum scenarios for GCC Moderate:</w:t>
      </w:r>
    </w:p>
    <w:p>
      <w:pPr>
        <w:pStyle w:val="Compact"/>
        <w:numPr>
          <w:ilvl w:val="0"/>
          <w:numId w:val="1004"/>
        </w:numPr>
      </w:pPr>
      <w:r>
        <w:rPr>
          <w:b/>
          <w:bCs/>
        </w:rPr>
        <w:t xml:space="preserve">Phishing → credential theft → lateral movement</w:t>
      </w:r>
      <w:r>
        <w:t xml:space="preserve"> </w:t>
      </w:r>
      <w:r>
        <w:t xml:space="preserve">— the most common</w:t>
      </w:r>
      <w:r>
        <w:t xml:space="preserve"> </w:t>
      </w:r>
      <w:r>
        <w:t xml:space="preserve">federal attack pattern; covers how Sentinel UEBA detects the anomaly and</w:t>
      </w:r>
      <w:r>
        <w:t xml:space="preserve"> </w:t>
      </w:r>
      <w:r>
        <w:t xml:space="preserve">which Logic App playbook fires</w:t>
      </w:r>
    </w:p>
    <w:p>
      <w:pPr>
        <w:pStyle w:val="Compact"/>
        <w:numPr>
          <w:ilvl w:val="0"/>
          <w:numId w:val="1004"/>
        </w:numPr>
      </w:pPr>
      <w:r>
        <w:rPr>
          <w:b/>
          <w:bCs/>
        </w:rPr>
        <w:t xml:space="preserve">Supply chain dependency compromise</w:t>
      </w:r>
      <w:r>
        <w:t xml:space="preserve"> </w:t>
      </w:r>
      <w:r>
        <w:t xml:space="preserve">— a critical npm/NuGet/PyPI package</w:t>
      </w:r>
      <w:r>
        <w:t xml:space="preserve"> </w:t>
      </w:r>
      <w:r>
        <w:t xml:space="preserve">is found malicious after deployment; what is the response chain from Grype</w:t>
      </w:r>
      <w:r>
        <w:t xml:space="preserve"> </w:t>
      </w:r>
      <w:r>
        <w:t xml:space="preserve">alert to containment</w:t>
      </w:r>
    </w:p>
    <w:p>
      <w:pPr>
        <w:pStyle w:val="Compact"/>
        <w:numPr>
          <w:ilvl w:val="0"/>
          <w:numId w:val="1004"/>
        </w:numPr>
      </w:pPr>
      <w:r>
        <w:rPr>
          <w:b/>
          <w:bCs/>
        </w:rPr>
        <w:t xml:space="preserve">Entra Conditional Access misconfiguration</w:t>
      </w:r>
      <w:r>
        <w:t xml:space="preserve"> </w:t>
      </w:r>
      <w:r>
        <w:t xml:space="preserve">— a policy change exposes</w:t>
      </w:r>
      <w:r>
        <w:t xml:space="preserve"> </w:t>
      </w:r>
      <w:r>
        <w:t xml:space="preserve">a gap; how is it detected in Sentinel and how is the access revoked</w:t>
      </w:r>
    </w:p>
    <w:p>
      <w:pPr>
        <w:pStyle w:val="Compact"/>
        <w:numPr>
          <w:ilvl w:val="0"/>
          <w:numId w:val="1004"/>
        </w:numPr>
      </w:pPr>
      <w:r>
        <w:rPr>
          <w:b/>
          <w:bCs/>
        </w:rPr>
        <w:t xml:space="preserve">InfoBlox RPZ bypass attempt</w:t>
      </w:r>
      <w:r>
        <w:t xml:space="preserve"> </w:t>
      </w:r>
      <w:r>
        <w:t xml:space="preserve">— DNS exfiltration pattern not covered by</w:t>
      </w:r>
      <w:r>
        <w:t xml:space="preserve"> </w:t>
      </w:r>
      <w:r>
        <w:t xml:space="preserve">current RPZ rules; detection via Sentinel CEF connector and response</w:t>
      </w:r>
    </w:p>
    <w:p>
      <w:pPr>
        <w:pStyle w:val="Compact"/>
        <w:numPr>
          <w:ilvl w:val="0"/>
          <w:numId w:val="1004"/>
        </w:numPr>
      </w:pPr>
      <w:r>
        <w:rPr>
          <w:b/>
          <w:bCs/>
        </w:rPr>
        <w:t xml:space="preserve">Ransomware encryption event</w:t>
      </w:r>
      <w:r>
        <w:t xml:space="preserve"> </w:t>
      </w:r>
      <w:r>
        <w:t xml:space="preserve">— endpoint detection via Defender MDE,</w:t>
      </w:r>
      <w:r>
        <w:t xml:space="preserve"> </w:t>
      </w:r>
      <w:r>
        <w:t xml:space="preserve">containment via Intune device action, recovery via Azure Site Recovery</w:t>
      </w:r>
      <w:r>
        <w:t xml:space="preserve"> </w:t>
      </w:r>
      <w:r>
        <w:t xml:space="preserve">failover to DR replica (Vol IV Book 01 procedure)</w:t>
      </w:r>
    </w:p>
    <w:bookmarkEnd w:id="31"/>
    <w:bookmarkEnd w:id="32"/>
    <w:bookmarkStart w:id="35" w:name="contingency-training-cp-3"/>
    <w:p>
      <w:pPr>
        <w:pStyle w:val="Heading2"/>
      </w:pPr>
      <w:r>
        <w:t xml:space="preserve">6.2 Contingency Training (CP-3)</w:t>
      </w:r>
    </w:p>
    <w:p>
      <w:pPr>
        <w:pStyle w:val="FirstParagraph"/>
      </w:pPr>
      <w:r>
        <w:t xml:space="preserve">CP-3 requires that contingency plan personnel are trained on their specific</w:t>
      </w:r>
      <w:r>
        <w:t xml:space="preserve"> </w:t>
      </w:r>
      <w:r>
        <w:t xml:space="preserve">roles and responsibilities. Vol IV Book 01 established the Contingency Plan,</w:t>
      </w:r>
      <w:r>
        <w:t xml:space="preserve"> </w:t>
      </w:r>
      <w:r>
        <w:t xml:space="preserve">RTO/RPO/MTD targets, and DR runbooks. This training ensures the people</w:t>
      </w:r>
      <w:r>
        <w:t xml:space="preserve"> </w:t>
      </w:r>
      <w:r>
        <w:t xml:space="preserve">named in those runbooks can execute them.</w:t>
      </w:r>
    </w:p>
    <w:bookmarkStart w:id="33" w:name="cp-3-tabletop-exercise-calendar"/>
    <w:p>
      <w:pPr>
        <w:pStyle w:val="Heading3"/>
      </w:pPr>
      <w:r>
        <w:t xml:space="preserve">6.2.1 CP-3 Tabletop Exercise Calendar</w:t>
      </w:r>
    </w:p>
    <w:p>
      <w:pPr>
        <w:pStyle w:val="FirstParagraph"/>
      </w:pPr>
      <w:r>
        <w:t xml:space="preserve">These four quarterly exercises test the CP-2 Contingency Plan established in</w:t>
      </w:r>
      <w:r>
        <w:t xml:space="preserve"> </w:t>
      </w:r>
      <w:r>
        <w:t xml:space="preserve">Vol IV Book 01. Q3 is the full CP-3 tabletop (contingency-role training);</w:t>
      </w:r>
      <w:r>
        <w:t xml:space="preserve"> </w:t>
      </w:r>
      <w:r>
        <w:t xml:space="preserve">Q1, Q2, and Q4 are functional failover tests that support CP-4 (Contingency</w:t>
      </w:r>
      <w:r>
        <w:t xml:space="preserve"> </w:t>
      </w:r>
      <w:r>
        <w:t xml:space="preserve">Plan Testing):</w:t>
      </w:r>
    </w:p>
    <w:p>
      <w:pPr>
        <w:pStyle w:val="TableCaption"/>
      </w:pPr>
      <w:r>
        <w:t xml:space="preserve">CP-3 / CP-4 Quarterly Exercise Calendar</w:t>
      </w:r>
    </w:p>
    <w:tbl>
      <w:tblPr>
        <w:tblStyle w:val="Table"/>
        <w:tblW w:type="pct" w:w="5000"/>
        <w:tblLayout w:type="fixed"/>
        <w:tblLook w:firstRow="1" w:lastRow="0" w:firstColumn="0" w:lastColumn="0" w:noHBand="0" w:noVBand="0" w:val="0020"/>
        <w:tblCaption w:val="CP-3 / CP-4 Quarterly Exercise Calendar"/>
      </w:tblPr>
      <w:tblGrid>
        <w:gridCol w:w="1549"/>
        <w:gridCol w:w="2754"/>
        <w:gridCol w:w="2238"/>
        <w:gridCol w:w="1377"/>
      </w:tblGrid>
      <w:tr>
        <w:trPr>
          <w:tblHeader w:val="on"/>
        </w:trPr>
        <w:tc>
          <w:tcPr/>
          <w:p>
            <w:pPr>
              <w:pStyle w:val="Compact"/>
            </w:pPr>
            <w:r>
              <w:t xml:space="preserve">Quarter</w:t>
            </w:r>
          </w:p>
        </w:tc>
        <w:tc>
          <w:tcPr/>
          <w:p>
            <w:pPr>
              <w:pStyle w:val="Compact"/>
            </w:pPr>
            <w:r>
              <w:t xml:space="preserve">Exercise Focus</w:t>
            </w:r>
          </w:p>
        </w:tc>
        <w:tc>
          <w:tcPr/>
          <w:p>
            <w:pPr>
              <w:pStyle w:val="Compact"/>
            </w:pPr>
            <w:r>
              <w:t xml:space="preserve">Participants</w:t>
            </w:r>
          </w:p>
        </w:tc>
        <w:tc>
          <w:tcPr/>
          <w:p>
            <w:pPr>
              <w:pStyle w:val="Compact"/>
            </w:pPr>
            <w:r>
              <w:t xml:space="preserve">Output</w:t>
            </w:r>
          </w:p>
        </w:tc>
      </w:tr>
      <w:tr>
        <w:tc>
          <w:tcPr/>
          <w:p>
            <w:pPr>
              <w:pStyle w:val="Compact"/>
            </w:pPr>
            <w:r>
              <w:rPr>
                <w:b/>
                <w:bCs/>
              </w:rPr>
              <w:t xml:space="preserve">Q1</w:t>
            </w:r>
          </w:p>
        </w:tc>
        <w:tc>
          <w:tcPr/>
          <w:p>
            <w:pPr>
              <w:pStyle w:val="Compact"/>
            </w:pPr>
            <w:r>
              <w:t xml:space="preserve">SQL AG failover to DR replica</w:t>
            </w:r>
          </w:p>
        </w:tc>
        <w:tc>
          <w:tcPr/>
          <w:p>
            <w:pPr>
              <w:pStyle w:val="Compact"/>
            </w:pPr>
            <w:r>
              <w:t xml:space="preserve">DBAs, sysadmins, SOC</w:t>
            </w:r>
          </w:p>
        </w:tc>
        <w:tc>
          <w:tcPr/>
          <w:p>
            <w:pPr>
              <w:pStyle w:val="Compact"/>
            </w:pPr>
            <w:r>
              <w:t xml:space="preserve">Failover time measurement vs. RTO target</w:t>
            </w:r>
          </w:p>
        </w:tc>
      </w:tr>
      <w:tr>
        <w:tc>
          <w:tcPr/>
          <w:p>
            <w:pPr>
              <w:pStyle w:val="Compact"/>
            </w:pPr>
            <w:r>
              <w:rPr>
                <w:b/>
                <w:bCs/>
              </w:rPr>
              <w:t xml:space="preserve">Q2</w:t>
            </w:r>
          </w:p>
        </w:tc>
        <w:tc>
          <w:tcPr/>
          <w:p>
            <w:pPr>
              <w:pStyle w:val="Compact"/>
            </w:pPr>
            <w:r>
              <w:t xml:space="preserve">InfoBlox Grid Manager failover</w:t>
            </w:r>
          </w:p>
        </w:tc>
        <w:tc>
          <w:tcPr/>
          <w:p>
            <w:pPr>
              <w:pStyle w:val="Compact"/>
            </w:pPr>
            <w:r>
              <w:t xml:space="preserve">Network engineers, DNS admins</w:t>
            </w:r>
          </w:p>
        </w:tc>
        <w:tc>
          <w:tcPr/>
          <w:p>
            <w:pPr>
              <w:pStyle w:val="Compact"/>
            </w:pPr>
            <w:r>
              <w:t xml:space="preserve">Recovery time vs. RTO; RPZ rule restoration check</w:t>
            </w:r>
          </w:p>
        </w:tc>
      </w:tr>
      <w:tr>
        <w:tc>
          <w:tcPr/>
          <w:p>
            <w:pPr>
              <w:pStyle w:val="Compact"/>
            </w:pPr>
            <w:r>
              <w:rPr>
                <w:b/>
                <w:bCs/>
              </w:rPr>
              <w:t xml:space="preserve">Q3</w:t>
            </w:r>
          </w:p>
        </w:tc>
        <w:tc>
          <w:tcPr/>
          <w:p>
            <w:pPr>
              <w:pStyle w:val="Compact"/>
            </w:pPr>
            <w:r>
              <w:t xml:space="preserve">Full CP-2 tabletop — multi-system outage</w:t>
            </w:r>
          </w:p>
        </w:tc>
        <w:tc>
          <w:tcPr/>
          <w:p>
            <w:pPr>
              <w:pStyle w:val="Compact"/>
            </w:pPr>
            <w:r>
              <w:t xml:space="preserve">All DR-designated personnel + leadership</w:t>
            </w:r>
          </w:p>
        </w:tc>
        <w:tc>
          <w:tcPr/>
          <w:p>
            <w:pPr>
              <w:pStyle w:val="Compact"/>
            </w:pPr>
            <w:r>
              <w:t xml:space="preserve">After-action report; plan updates</w:t>
            </w:r>
          </w:p>
        </w:tc>
      </w:tr>
      <w:tr>
        <w:tc>
          <w:tcPr/>
          <w:p>
            <w:pPr>
              <w:pStyle w:val="Compact"/>
            </w:pPr>
            <w:r>
              <w:rPr>
                <w:b/>
                <w:bCs/>
              </w:rPr>
              <w:t xml:space="preserve">Q4</w:t>
            </w:r>
          </w:p>
        </w:tc>
        <w:tc>
          <w:tcPr/>
          <w:p>
            <w:pPr>
              <w:pStyle w:val="Compact"/>
            </w:pPr>
            <w:r>
              <w:t xml:space="preserve">Entra ID + Azure AD DS recovery scenario</w:t>
            </w:r>
          </w:p>
        </w:tc>
        <w:tc>
          <w:tcPr/>
          <w:p>
            <w:pPr>
              <w:pStyle w:val="Compact"/>
            </w:pPr>
            <w:r>
              <w:t xml:space="preserve">Identity admins, sysadmins</w:t>
            </w:r>
          </w:p>
        </w:tc>
        <w:tc>
          <w:tcPr/>
          <w:p>
            <w:pPr>
              <w:pStyle w:val="Compact"/>
            </w:pPr>
            <w:r>
              <w:t xml:space="preserve">Token reissuance time; break-glass procedure validation</w:t>
            </w:r>
          </w:p>
        </w:tc>
      </w:tr>
    </w:tbl>
    <w:bookmarkEnd w:id="33"/>
    <w:bookmarkStart w:id="34" w:name="after-action-report-requirements"/>
    <w:p>
      <w:pPr>
        <w:pStyle w:val="Heading3"/>
      </w:pPr>
      <w:r>
        <w:t xml:space="preserve">6.2.2 After-Action Report Requirements</w:t>
      </w:r>
    </w:p>
    <w:p>
      <w:pPr>
        <w:pStyle w:val="FirstParagraph"/>
      </w:pPr>
      <w:r>
        <w:t xml:space="preserve">Every tabletop produces an after-action report that:</w:t>
      </w:r>
    </w:p>
    <w:p>
      <w:pPr>
        <w:pStyle w:val="Compact"/>
        <w:numPr>
          <w:ilvl w:val="0"/>
          <w:numId w:val="1005"/>
        </w:numPr>
      </w:pPr>
      <w:r>
        <w:t xml:space="preserve">Documents attendance (names, roles, date) — this is the CP-3 evidence record</w:t>
      </w:r>
    </w:p>
    <w:p>
      <w:pPr>
        <w:pStyle w:val="Compact"/>
        <w:numPr>
          <w:ilvl w:val="0"/>
          <w:numId w:val="1005"/>
        </w:numPr>
      </w:pPr>
      <w:r>
        <w:t xml:space="preserve">Records the scenario, injects, and timeline</w:t>
      </w:r>
    </w:p>
    <w:p>
      <w:pPr>
        <w:pStyle w:val="Compact"/>
        <w:numPr>
          <w:ilvl w:val="0"/>
          <w:numId w:val="1005"/>
        </w:numPr>
      </w:pPr>
      <w:r>
        <w:t xml:space="preserve">Identifies gaps found versus the CP-2 plan</w:t>
      </w:r>
    </w:p>
    <w:p>
      <w:pPr>
        <w:pStyle w:val="Compact"/>
        <w:numPr>
          <w:ilvl w:val="0"/>
          <w:numId w:val="1005"/>
        </w:numPr>
      </w:pPr>
      <w:r>
        <w:t xml:space="preserve">Assigns corrective actions with owners and due dates</w:t>
      </w:r>
    </w:p>
    <w:p>
      <w:pPr>
        <w:pStyle w:val="Compact"/>
        <w:numPr>
          <w:ilvl w:val="0"/>
          <w:numId w:val="1005"/>
        </w:numPr>
      </w:pPr>
      <w:r>
        <w:t xml:space="preserve">Is reviewed by the ISSO and archived in the governance record system</w:t>
      </w:r>
    </w:p>
    <w:p>
      <w:pPr>
        <w:pStyle w:val="FirstParagraph"/>
      </w:pPr>
      <w:r>
        <w:t xml:space="preserve">The after-action report feeds two things: the PM-14 T&amp;T&amp;M tracker</w:t>
      </w:r>
      <w:r>
        <w:t xml:space="preserve"> </w:t>
      </w:r>
      <w:r>
        <w:t xml:space="preserve">(Vol IV Book 03) and the CP-3 evidence record that the governance substrate ingests.</w:t>
      </w:r>
    </w:p>
    <w:p>
      <w:r>
        <w:pict>
          <v:rect style="width:0;height:1.5pt" o:hralign="center" o:hrstd="t" o:hr="t"/>
        </w:pict>
      </w:r>
    </w:p>
    <w:bookmarkEnd w:id="34"/>
    <w:bookmarkEnd w:id="35"/>
    <w:bookmarkEnd w:id="36"/>
    <w:bookmarkStart w:id="42" w:name="X5d2cfcf0b4e9a84389fb9586b6280caef5882bd"/>
    <w:p>
      <w:pPr>
        <w:pStyle w:val="Heading1"/>
      </w:pPr>
      <w:r>
        <w:t xml:space="preserve">7. Training Records and LMS Integration (AT-4)</w:t>
      </w:r>
    </w:p>
    <w:bookmarkStart w:id="37" w:name="X695eb96f7b67776b17ba54fe81d0539a7b1317b"/>
    <w:p>
      <w:pPr>
        <w:pStyle w:val="Heading2"/>
      </w:pPr>
      <w:r>
        <w:t xml:space="preserve">7.1 The Machine-Readable Evidence Requirement</w:t>
      </w:r>
    </w:p>
    <w:p>
      <w:pPr>
        <w:pStyle w:val="FirstParagraph"/>
      </w:pPr>
      <w:r>
        <w:t xml:space="preserve">AT-4 requires the organization to retain individual training records and</w:t>
      </w:r>
      <w:r>
        <w:t xml:space="preserve"> </w:t>
      </w:r>
      <w:r>
        <w:t xml:space="preserve">review them. For FedRAMP 20x KSI-CED-RAT,</w:t>
      </w:r>
      <w:r>
        <w:t xml:space="preserve"> </w:t>
      </w:r>
      <w:r>
        <w:t xml:space="preserve">“review”</w:t>
      </w:r>
      <w:r>
        <w:t xml:space="preserve"> </w:t>
      </w:r>
      <w:r>
        <w:t xml:space="preserve">must be persistent and</w:t>
      </w:r>
      <w:r>
        <w:t xml:space="preserve"> </w:t>
      </w:r>
      <w:r>
        <w:t xml:space="preserve">machine-readable — the governance substrate needs to query whether all</w:t>
      </w:r>
      <w:r>
        <w:t xml:space="preserve"> </w:t>
      </w:r>
      <w:r>
        <w:t xml:space="preserve">four training dimensions have been reviewed, for which populations, and</w:t>
      </w:r>
      <w:r>
        <w:t xml:space="preserve"> </w:t>
      </w:r>
      <w:r>
        <w:t xml:space="preserve">when.</w:t>
      </w:r>
    </w:p>
    <w:p>
      <w:pPr>
        <w:pStyle w:val="BodyText"/>
      </w:pPr>
      <w:r>
        <w:t xml:space="preserve">The evidence contract for KSI-022 specifies:</w:t>
      </w:r>
    </w:p>
    <w:p>
      <w:pPr>
        <w:pStyle w:val="SourceCode"/>
      </w:pPr>
      <w:r>
        <w:rPr>
          <w:rStyle w:val="VerbatimChar"/>
        </w:rPr>
        <w:t xml:space="preserve">Substrate_Signal: governance.training-effectiveness-record</w:t>
      </w:r>
      <w:r>
        <w:br/>
      </w:r>
      <w:r>
        <w:rPr>
          <w:rStyle w:val="VerbatimChar"/>
        </w:rPr>
        <w:t xml:space="preserve">Data_Type:        Document</w:t>
      </w:r>
      <w:r>
        <w:br/>
      </w:r>
      <w:r>
        <w:rPr>
          <w:rStyle w:val="VerbatimChar"/>
        </w:rPr>
        <w:t xml:space="preserve">Evidence:         LMS training completion record demonstrating all four</w:t>
      </w:r>
      <w:r>
        <w:br/>
      </w:r>
      <w:r>
        <w:rPr>
          <w:rStyle w:val="VerbatimChar"/>
        </w:rPr>
        <w:t xml:space="preserve">                  training dimensions are reviewed</w:t>
      </w:r>
    </w:p>
    <w:p>
      <w:pPr>
        <w:pStyle w:val="FirstParagraph"/>
      </w:pPr>
      <w:r>
        <w:t xml:space="preserve">This means the LMS must produce an exportable record that the governance engine can</w:t>
      </w:r>
      <w:r>
        <w:t xml:space="preserve"> </w:t>
      </w:r>
      <w:r>
        <w:t xml:space="preserve">ingest and query. The record must answer four questions:</w:t>
      </w:r>
    </w:p>
    <w:p>
      <w:pPr>
        <w:pStyle w:val="Compact"/>
        <w:numPr>
          <w:ilvl w:val="0"/>
          <w:numId w:val="1006"/>
        </w:numPr>
      </w:pPr>
      <w:r>
        <w:t xml:space="preserve">Did</w:t>
      </w:r>
      <w:r>
        <w:t xml:space="preserve"> </w:t>
      </w:r>
      <w:r>
        <w:rPr>
          <w:b/>
          <w:bCs/>
        </w:rPr>
        <w:t xml:space="preserve">all employees</w:t>
      </w:r>
      <w:r>
        <w:t xml:space="preserve"> </w:t>
      </w:r>
      <w:r>
        <w:t xml:space="preserve">complete annual security awareness training (AT-2)?</w:t>
      </w:r>
    </w:p>
    <w:p>
      <w:pPr>
        <w:pStyle w:val="Compact"/>
        <w:numPr>
          <w:ilvl w:val="0"/>
          <w:numId w:val="1006"/>
        </w:numPr>
      </w:pPr>
      <w:r>
        <w:t xml:space="preserve">Did</w:t>
      </w:r>
      <w:r>
        <w:t xml:space="preserve"> </w:t>
      </w:r>
      <w:r>
        <w:rPr>
          <w:b/>
          <w:bCs/>
        </w:rPr>
        <w:t xml:space="preserve">all role-designated personnel</w:t>
      </w:r>
      <w:r>
        <w:t xml:space="preserve"> </w:t>
      </w:r>
      <w:r>
        <w:t xml:space="preserve">complete their role-specific track (AT-3)?</w:t>
      </w:r>
    </w:p>
    <w:p>
      <w:pPr>
        <w:pStyle w:val="Compact"/>
        <w:numPr>
          <w:ilvl w:val="0"/>
          <w:numId w:val="1006"/>
        </w:numPr>
      </w:pPr>
      <w:r>
        <w:t xml:space="preserve">Did</w:t>
      </w:r>
      <w:r>
        <w:t xml:space="preserve"> </w:t>
      </w:r>
      <w:r>
        <w:rPr>
          <w:b/>
          <w:bCs/>
        </w:rPr>
        <w:t xml:space="preserve">all developers / engineers</w:t>
      </w:r>
      <w:r>
        <w:t xml:space="preserve"> </w:t>
      </w:r>
      <w:r>
        <w:t xml:space="preserve">complete secure delivery training (AT-3(3))?</w:t>
      </w:r>
    </w:p>
    <w:p>
      <w:pPr>
        <w:pStyle w:val="Compact"/>
        <w:numPr>
          <w:ilvl w:val="0"/>
          <w:numId w:val="1006"/>
        </w:numPr>
      </w:pPr>
      <w:r>
        <w:t xml:space="preserve">Did</w:t>
      </w:r>
      <w:r>
        <w:t xml:space="preserve"> </w:t>
      </w:r>
      <w:r>
        <w:rPr>
          <w:b/>
          <w:bCs/>
        </w:rPr>
        <w:t xml:space="preserve">all IR/DR personnel</w:t>
      </w:r>
      <w:r>
        <w:t xml:space="preserve"> </w:t>
      </w:r>
      <w:r>
        <w:t xml:space="preserve">attend the required drills and tabletops (IR-2, CP-3)?</w:t>
      </w:r>
    </w:p>
    <w:bookmarkEnd w:id="37"/>
    <w:bookmarkStart w:id="38" w:name="training-completion-record-schema"/>
    <w:p>
      <w:pPr>
        <w:pStyle w:val="Heading2"/>
      </w:pPr>
      <w:r>
        <w:t xml:space="preserve">7.2 Training Completion Record Schema</w:t>
      </w:r>
    </w:p>
    <w:p>
      <w:pPr>
        <w:pStyle w:val="FirstParagraph"/>
      </w:pPr>
      <w:r>
        <w:t xml:space="preserve">The training-effectiveness-record exported to the governance substrate follows</w:t>
      </w:r>
      <w:r>
        <w:t xml:space="preserve"> </w:t>
      </w:r>
      <w:r>
        <w:t xml:space="preserve">this schema:</w:t>
      </w:r>
    </w:p>
    <w:p>
      <w:pPr>
        <w:pStyle w:val="SourceCode"/>
      </w:pPr>
      <w:r>
        <w:rPr>
          <w:rStyle w:val="FunctionTok"/>
        </w:rPr>
        <w:t xml:space="preserve">{</w:t>
      </w:r>
      <w:r>
        <w:br/>
      </w:r>
      <w:r>
        <w:rPr>
          <w:rStyle w:val="NormalTok"/>
        </w:rPr>
        <w:t xml:space="preserve">  </w:t>
      </w:r>
      <w:r>
        <w:rPr>
          <w:rStyle w:val="DataTypeTok"/>
        </w:rPr>
        <w:t xml:space="preserve">"record_type"</w:t>
      </w:r>
      <w:r>
        <w:rPr>
          <w:rStyle w:val="FunctionTok"/>
        </w:rPr>
        <w:t xml:space="preserve">:</w:t>
      </w:r>
      <w:r>
        <w:rPr>
          <w:rStyle w:val="NormalTok"/>
        </w:rPr>
        <w:t xml:space="preserve"> </w:t>
      </w:r>
      <w:r>
        <w:rPr>
          <w:rStyle w:val="StringTok"/>
        </w:rPr>
        <w:t xml:space="preserve">"training-effectiveness-record"</w:t>
      </w:r>
      <w:r>
        <w:rPr>
          <w:rStyle w:val="FunctionTok"/>
        </w:rPr>
        <w:t xml:space="preserve">,</w:t>
      </w:r>
      <w:r>
        <w:br/>
      </w:r>
      <w:r>
        <w:rPr>
          <w:rStyle w:val="NormalTok"/>
        </w:rPr>
        <w:t xml:space="preserve">  </w:t>
      </w:r>
      <w:r>
        <w:rPr>
          <w:rStyle w:val="DataTypeTok"/>
        </w:rPr>
        <w:t xml:space="preserve">"snapshot_date"</w:t>
      </w:r>
      <w:r>
        <w:rPr>
          <w:rStyle w:val="FunctionTok"/>
        </w:rPr>
        <w:t xml:space="preserve">:</w:t>
      </w:r>
      <w:r>
        <w:rPr>
          <w:rStyle w:val="NormalTok"/>
        </w:rPr>
        <w:t xml:space="preserve"> </w:t>
      </w:r>
      <w:r>
        <w:rPr>
          <w:rStyle w:val="StringTok"/>
        </w:rPr>
        <w:t xml:space="preserve">"2026-10-01"</w:t>
      </w:r>
      <w:r>
        <w:rPr>
          <w:rStyle w:val="FunctionTok"/>
        </w:rPr>
        <w:t xml:space="preserve">,</w:t>
      </w:r>
      <w:r>
        <w:br/>
      </w:r>
      <w:r>
        <w:rPr>
          <w:rStyle w:val="NormalTok"/>
        </w:rPr>
        <w:t xml:space="preserve">  </w:t>
      </w:r>
      <w:r>
        <w:rPr>
          <w:rStyle w:val="DataTypeTok"/>
        </w:rPr>
        <w:t xml:space="preserve">"generated_by"</w:t>
      </w:r>
      <w:r>
        <w:rPr>
          <w:rStyle w:val="FunctionTok"/>
        </w:rPr>
        <w:t xml:space="preserve">:</w:t>
      </w:r>
      <w:r>
        <w:rPr>
          <w:rStyle w:val="NormalTok"/>
        </w:rPr>
        <w:t xml:space="preserve"> </w:t>
      </w:r>
      <w:r>
        <w:rPr>
          <w:rStyle w:val="StringTok"/>
        </w:rPr>
        <w:t xml:space="preserve">"Microsoft Viva Learning Graph API export"</w:t>
      </w:r>
      <w:r>
        <w:rPr>
          <w:rStyle w:val="FunctionTok"/>
        </w:rPr>
        <w:t xml:space="preserve">,</w:t>
      </w:r>
      <w:r>
        <w:br/>
      </w:r>
      <w:r>
        <w:rPr>
          <w:rStyle w:val="NormalTok"/>
        </w:rPr>
        <w:t xml:space="preserve">  </w:t>
      </w:r>
      <w:r>
        <w:rPr>
          <w:rStyle w:val="DataTypeTok"/>
        </w:rPr>
        <w:t xml:space="preserve">"overall_completion_pct"</w:t>
      </w:r>
      <w:r>
        <w:rPr>
          <w:rStyle w:val="FunctionTok"/>
        </w:rPr>
        <w:t xml:space="preserve">:</w:t>
      </w:r>
      <w:r>
        <w:rPr>
          <w:rStyle w:val="NormalTok"/>
        </w:rPr>
        <w:t xml:space="preserve"> </w:t>
      </w:r>
      <w:r>
        <w:rPr>
          <w:rStyle w:val="FloatTok"/>
        </w:rPr>
        <w:t xml:space="preserve">98.3</w:t>
      </w:r>
      <w:r>
        <w:rPr>
          <w:rStyle w:val="FunctionTok"/>
        </w:rPr>
        <w:t xml:space="preserve">,</w:t>
      </w:r>
      <w:r>
        <w:br/>
      </w:r>
      <w:r>
        <w:rPr>
          <w:rStyle w:val="NormalTok"/>
        </w:rPr>
        <w:t xml:space="preserve">  </w:t>
      </w:r>
      <w:r>
        <w:rPr>
          <w:rStyle w:val="DataTypeTok"/>
        </w:rPr>
        <w:t xml:space="preserve">"cp3_tabletop_date"</w:t>
      </w:r>
      <w:r>
        <w:rPr>
          <w:rStyle w:val="FunctionTok"/>
        </w:rPr>
        <w:t xml:space="preserve">:</w:t>
      </w:r>
      <w:r>
        <w:rPr>
          <w:rStyle w:val="NormalTok"/>
        </w:rPr>
        <w:t xml:space="preserve"> </w:t>
      </w:r>
      <w:r>
        <w:rPr>
          <w:rStyle w:val="StringTok"/>
        </w:rPr>
        <w:t xml:space="preserve">"2026-08-14"</w:t>
      </w:r>
      <w:r>
        <w:rPr>
          <w:rStyle w:val="FunctionTok"/>
        </w:rPr>
        <w:t xml:space="preserve">,</w:t>
      </w:r>
      <w:r>
        <w:br/>
      </w:r>
      <w:r>
        <w:rPr>
          <w:rStyle w:val="NormalTok"/>
        </w:rPr>
        <w:t xml:space="preserve">  </w:t>
      </w:r>
      <w:r>
        <w:rPr>
          <w:rStyle w:val="DataTypeTok"/>
        </w:rPr>
        <w:t xml:space="preserve">"ir2_drill_date"</w:t>
      </w:r>
      <w:r>
        <w:rPr>
          <w:rStyle w:val="FunctionTok"/>
        </w:rPr>
        <w:t xml:space="preserve">:</w:t>
      </w:r>
      <w:r>
        <w:rPr>
          <w:rStyle w:val="NormalTok"/>
        </w:rPr>
        <w:t xml:space="preserve"> </w:t>
      </w:r>
      <w:r>
        <w:rPr>
          <w:rStyle w:val="StringTok"/>
        </w:rPr>
        <w:t xml:space="preserve">"2026-09-09"</w:t>
      </w:r>
      <w:r>
        <w:rPr>
          <w:rStyle w:val="FunctionTok"/>
        </w:rPr>
        <w:t xml:space="preserve">,</w:t>
      </w:r>
      <w:r>
        <w:br/>
      </w:r>
      <w:r>
        <w:rPr>
          <w:rStyle w:val="NormalTok"/>
        </w:rPr>
        <w:t xml:space="preserve">  </w:t>
      </w:r>
      <w:r>
        <w:rPr>
          <w:rStyle w:val="DataTypeTok"/>
        </w:rPr>
        <w:t xml:space="preserve">"role_tiers"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"sysadmins"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100.0</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"2026-09-20"</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"AT-3"</w:t>
      </w:r>
      <w:r>
        <w:rPr>
          <w:rStyle w:val="OtherTok"/>
        </w:rPr>
        <w:t xml:space="preserve">,</w:t>
      </w:r>
      <w:r>
        <w:rPr>
          <w:rStyle w:val="NormalTok"/>
        </w:rPr>
        <w:t xml:space="preserve"> </w:t>
      </w:r>
      <w:r>
        <w:rPr>
          <w:rStyle w:val="StringTok"/>
        </w:rPr>
        <w:t xml:space="preserve">"AT-3(3)"</w:t>
      </w:r>
      <w:r>
        <w:rPr>
          <w:rStyle w:val="OtherTok"/>
        </w:rPr>
        <w:t xml:space="preserv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"privileged_access"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96.4</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"2026-09-22"</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"AT-3"</w:t>
      </w:r>
      <w:r>
        <w:rPr>
          <w:rStyle w:val="OtherTok"/>
        </w:rPr>
        <w:t xml:space="preserve">,</w:t>
      </w:r>
      <w:r>
        <w:rPr>
          <w:rStyle w:val="NormalTok"/>
        </w:rPr>
        <w:t xml:space="preserve"> </w:t>
      </w:r>
      <w:r>
        <w:rPr>
          <w:rStyle w:val="StringTok"/>
        </w:rPr>
        <w:t xml:space="preserve">"AT-3(5)"</w:t>
      </w:r>
      <w:r>
        <w:rPr>
          <w:rStyle w:val="OtherTok"/>
        </w:rPr>
        <w:t xml:space="preserv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"developers"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97.8</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"2026-09-18"</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"AT-3"</w:t>
      </w:r>
      <w:r>
        <w:rPr>
          <w:rStyle w:val="OtherTok"/>
        </w:rPr>
        <w:t xml:space="preserve">,</w:t>
      </w:r>
      <w:r>
        <w:rPr>
          <w:rStyle w:val="NormalTok"/>
        </w:rPr>
        <w:t xml:space="preserve"> </w:t>
      </w:r>
      <w:r>
        <w:rPr>
          <w:rStyle w:val="StringTok"/>
        </w:rPr>
        <w:t xml:space="preserve">"AT-3(3)"</w:t>
      </w:r>
      <w:r>
        <w:rPr>
          <w:rStyle w:val="OtherTok"/>
        </w:rPr>
        <w:t xml:space="preserv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"ir_responders"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100.0</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"2026-09-09"</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"IR-2"</w:t>
      </w:r>
      <w:r>
        <w:rPr>
          <w:rStyle w:val="OtherTok"/>
        </w:rPr>
        <w:t xml:space="preserve">,</w:t>
      </w:r>
      <w:r>
        <w:rPr>
          <w:rStyle w:val="NormalTok"/>
        </w:rPr>
        <w:t xml:space="preserve"> </w:t>
      </w:r>
      <w:r>
        <w:rPr>
          <w:rStyle w:val="StringTok"/>
        </w:rPr>
        <w:t xml:space="preserve">"CP-3"</w:t>
      </w:r>
      <w:r>
        <w:rPr>
          <w:rStyle w:val="OtherTok"/>
        </w:rPr>
        <w:t xml:space="preserve">]</w:t>
      </w:r>
      <w:r>
        <w:rPr>
          <w:rStyle w:val="FunctionTok"/>
        </w:rPr>
        <w:t xml:space="preserve">,</w:t>
      </w:r>
      <w:r>
        <w:rPr>
          <w:rStyle w:val="NormalTok"/>
        </w:rPr>
        <w:t xml:space="preserve"> </w:t>
      </w:r>
      <w:r>
        <w:rPr>
          <w:rStyle w:val="DataTypeTok"/>
        </w:rPr>
        <w:t xml:space="preserve">"ir2_drill_date"</w:t>
      </w:r>
      <w:r>
        <w:rPr>
          <w:rStyle w:val="FunctionTok"/>
        </w:rPr>
        <w:t xml:space="preserve">:</w:t>
      </w:r>
      <w:r>
        <w:rPr>
          <w:rStyle w:val="NormalTok"/>
        </w:rPr>
        <w:t xml:space="preserve"> </w:t>
      </w:r>
      <w:r>
        <w:rPr>
          <w:rStyle w:val="StringTok"/>
        </w:rPr>
        <w:t xml:space="preserve">"2026-09-09"</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"data_stewards"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96.8</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"2026-09-25"</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"AT-3"</w:t>
      </w:r>
      <w:r>
        <w:rPr>
          <w:rStyle w:val="OtherTok"/>
        </w:rPr>
        <w:t xml:space="preserv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"executives"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100.0</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"2026-09-15"</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"AT-2"</w:t>
      </w:r>
      <w:r>
        <w:rPr>
          <w:rStyle w:val="OtherTok"/>
        </w:rPr>
        <w:t xml:space="preserve">,</w:t>
      </w:r>
      <w:r>
        <w:rPr>
          <w:rStyle w:val="NormalTok"/>
        </w:rPr>
        <w:t xml:space="preserve"> </w:t>
      </w:r>
      <w:r>
        <w:rPr>
          <w:rStyle w:val="StringTok"/>
        </w:rPr>
        <w:t xml:space="preserve">"AT-3"</w:t>
      </w:r>
      <w:r>
        <w:rPr>
          <w:rStyle w:val="OtherTok"/>
        </w:rPr>
        <w:t xml:space="preserve">]</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"ksi_ced_rat_status"</w:t>
      </w:r>
      <w:r>
        <w:rPr>
          <w:rStyle w:val="FunctionTok"/>
        </w:rPr>
        <w:t xml:space="preserve">:</w:t>
      </w:r>
      <w:r>
        <w:rPr>
          <w:rStyle w:val="NormalTok"/>
        </w:rPr>
        <w:t xml:space="preserve"> </w:t>
      </w:r>
      <w:r>
        <w:rPr>
          <w:rStyle w:val="StringTok"/>
        </w:rPr>
        <w:t xml:space="preserve">"PASS"</w:t>
      </w:r>
      <w:r>
        <w:rPr>
          <w:rStyle w:val="FunctionTok"/>
        </w:rPr>
        <w:t xml:space="preserve">,</w:t>
      </w:r>
      <w:r>
        <w:br/>
      </w:r>
      <w:r>
        <w:rPr>
          <w:rStyle w:val="NormalTok"/>
        </w:rPr>
        <w:t xml:space="preserve">  </w:t>
      </w:r>
      <w:r>
        <w:rPr>
          <w:rStyle w:val="DataTypeTok"/>
        </w:rPr>
        <w:t xml:space="preserve">"attestation"</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"isso_name"</w:t>
      </w:r>
      <w:r>
        <w:rPr>
          <w:rStyle w:val="FunctionTok"/>
        </w:rPr>
        <w:t xml:space="preserve">:</w:t>
      </w:r>
      <w:r>
        <w:rPr>
          <w:rStyle w:val="NormalTok"/>
        </w:rPr>
        <w:t xml:space="preserve"> </w:t>
      </w:r>
      <w:r>
        <w:rPr>
          <w:rStyle w:val="StringTok"/>
        </w:rPr>
        <w:t xml:space="preserve">"[ISSO Name]"</w:t>
      </w:r>
      <w:r>
        <w:rPr>
          <w:rStyle w:val="FunctionTok"/>
        </w:rPr>
        <w:t xml:space="preserve">,</w:t>
      </w:r>
      <w:r>
        <w:br/>
      </w:r>
      <w:r>
        <w:rPr>
          <w:rStyle w:val="NormalTok"/>
        </w:rPr>
        <w:t xml:space="preserve">    </w:t>
      </w:r>
      <w:r>
        <w:rPr>
          <w:rStyle w:val="DataTypeTok"/>
        </w:rPr>
        <w:t xml:space="preserve">"review_date"</w:t>
      </w:r>
      <w:r>
        <w:rPr>
          <w:rStyle w:val="FunctionTok"/>
        </w:rPr>
        <w:t xml:space="preserve">:</w:t>
      </w:r>
      <w:r>
        <w:rPr>
          <w:rStyle w:val="NormalTok"/>
        </w:rPr>
        <w:t xml:space="preserve"> </w:t>
      </w:r>
      <w:r>
        <w:rPr>
          <w:rStyle w:val="StringTok"/>
        </w:rPr>
        <w:t xml:space="preserve">"2026-10-01"</w:t>
      </w:r>
      <w:r>
        <w:rPr>
          <w:rStyle w:val="FunctionTok"/>
        </w:rPr>
        <w:t xml:space="preserve">,</w:t>
      </w:r>
      <w:r>
        <w:br/>
      </w:r>
      <w:r>
        <w:rPr>
          <w:rStyle w:val="NormalTok"/>
        </w:rPr>
        <w:t xml:space="preserve">    </w:t>
      </w:r>
      <w:r>
        <w:rPr>
          <w:rStyle w:val="DataTypeTok"/>
        </w:rPr>
        <w:t xml:space="preserve">"next_review"</w:t>
      </w:r>
      <w:r>
        <w:rPr>
          <w:rStyle w:val="FunctionTok"/>
        </w:rPr>
        <w:t xml:space="preserve">:</w:t>
      </w:r>
      <w:r>
        <w:rPr>
          <w:rStyle w:val="NormalTok"/>
        </w:rPr>
        <w:t xml:space="preserve"> </w:t>
      </w:r>
      <w:r>
        <w:rPr>
          <w:rStyle w:val="StringTok"/>
        </w:rPr>
        <w:t xml:space="preserve">"2027-01-01"</w:t>
      </w:r>
      <w:r>
        <w:br/>
      </w:r>
      <w:r>
        <w:rPr>
          <w:rStyle w:val="NormalTok"/>
        </w:rPr>
        <w:t xml:space="preserve">  </w:t>
      </w:r>
      <w:r>
        <w:rPr>
          <w:rStyle w:val="FunctionTok"/>
        </w:rPr>
        <w:t xml:space="preserve">}</w:t>
      </w:r>
      <w:r>
        <w:br/>
      </w:r>
      <w:r>
        <w:rPr>
          <w:rStyle w:val="FunctionTok"/>
        </w:rPr>
        <w:t xml:space="preserve">}</w:t>
      </w:r>
    </w:p>
    <w:bookmarkEnd w:id="38"/>
    <w:bookmarkStart w:id="41" w:name="microsoft-viva-learning-integration"/>
    <w:p>
      <w:pPr>
        <w:pStyle w:val="Heading2"/>
      </w:pPr>
      <w:r>
        <w:t xml:space="preserve">7.3 Microsoft Viva Learning Integration</w:t>
      </w:r>
    </w:p>
    <w:p>
      <w:pPr>
        <w:pStyle w:val="FirstParagraph"/>
      </w:pPr>
      <w:r>
        <w:t xml:space="preserve">For organizations on Microsoft 365 GCC E3 or E5, Viva Learning is the</w:t>
      </w:r>
      <w:r>
        <w:t xml:space="preserve"> </w:t>
      </w:r>
      <w:r>
        <w:t xml:space="preserve">recommended LMS platform because its completion data is accessible via the</w:t>
      </w:r>
      <w:r>
        <w:t xml:space="preserve"> </w:t>
      </w:r>
      <w:r>
        <w:t xml:space="preserve">Microsoft Graph API without additional integration effort:</w:t>
      </w:r>
    </w:p>
    <w:bookmarkStart w:id="39" w:name="graph-api-query-for-at-4-evidence"/>
    <w:p>
      <w:pPr>
        <w:pStyle w:val="Heading3"/>
      </w:pPr>
      <w:r>
        <w:t xml:space="preserve">7.3.1 Graph API Query for AT-4 Evidence</w:t>
      </w:r>
    </w:p>
    <w:p>
      <w:pPr>
        <w:pStyle w:val="SourceCode"/>
      </w:pPr>
      <w:r>
        <w:rPr>
          <w:rStyle w:val="CommentTok"/>
        </w:rPr>
        <w:t xml:space="preserve"># Get training completion records for AT-4 evidence export</w:t>
      </w:r>
      <w:r>
        <w:br/>
      </w:r>
      <w:r>
        <w:rPr>
          <w:rStyle w:val="CommentTok"/>
        </w:rPr>
        <w:t xml:space="preserve"># Requires: LearningAssignmentReport.Read.All permission</w:t>
      </w:r>
      <w:r>
        <w:br/>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$accessToken</w:t>
      </w:r>
      <w:r>
        <w:rPr>
          <w:rStyle w:val="StringTok"/>
        </w:rPr>
        <w:t xml:space="preserve">"</w:t>
      </w:r>
      <w:r>
        <w:br/>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br/>
      </w:r>
      <w:r>
        <w:rPr>
          <w:rStyle w:val="OperatorTok"/>
        </w:rPr>
        <w:t xml:space="preserve">}</w:t>
      </w:r>
      <w:r>
        <w:br/>
      </w:r>
      <w:r>
        <w:br/>
      </w:r>
      <w:r>
        <w:rPr>
          <w:rStyle w:val="CommentTok"/>
        </w:rPr>
        <w:t xml:space="preserve"># Query all learning assignments in the review period</w:t>
      </w:r>
      <w:r>
        <w:br/>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br/>
      </w:r>
      <w:r>
        <w:rPr>
          <w:rStyle w:val="NormalTok"/>
        </w:rPr>
        <w:t xml:space="preserve">    </w:t>
      </w:r>
      <w:r>
        <w:rPr>
          <w:rStyle w:val="StringTok"/>
        </w:rPr>
        <w:t xml:space="preserve">"https://graph.microsoft.com/v1.0/employeeExperience/learningCourseActivities"</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br/>
      </w:r>
      <w:r>
        <w:rPr>
          <w:rStyle w:val="CommentTok"/>
        </w:rPr>
        <w:t xml:space="preserve"># Filter by course IDs in the Compliance training program</w:t>
      </w:r>
      <w:r>
        <w:br/>
      </w:r>
      <w:r>
        <w:rPr>
          <w:rStyle w:val="VariableTok"/>
        </w:rPr>
        <w:t xml:space="preserve">$aanCourses</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FunctionTok"/>
        </w:rPr>
        <w:t xml:space="preserve">value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VariableTok"/>
        </w:rPr>
        <w:t xml:space="preserve">$_</w:t>
      </w:r>
      <w:r>
        <w:rPr>
          <w:rStyle w:val="OperatorTok"/>
        </w:rPr>
        <w:t xml:space="preserve">.</w:t>
      </w:r>
      <w:r>
        <w:rPr>
          <w:rStyle w:val="FunctionTok"/>
        </w:rPr>
        <w:t xml:space="preserve">courseId</w:t>
      </w:r>
      <w:r>
        <w:rPr>
          <w:rStyle w:val="NormalTok"/>
        </w:rPr>
        <w:t xml:space="preserve"> </w:t>
      </w:r>
      <w:r>
        <w:rPr>
          <w:rStyle w:val="OperatorTok"/>
        </w:rPr>
        <w:t xml:space="preserve">-</w:t>
      </w:r>
      <w:r>
        <w:rPr>
          <w:rStyle w:val="NormalTok"/>
        </w:rPr>
        <w:t xml:space="preserve">in </w:t>
      </w:r>
      <w:r>
        <w:rPr>
          <w:rStyle w:val="OperatorTok"/>
        </w:rPr>
        <w:t xml:space="preserve">@(</w:t>
      </w:r>
      <w:r>
        <w:rPr>
          <w:rStyle w:val="StringTok"/>
        </w:rPr>
        <w:t xml:space="preserve">"Compliance-AT2-2026"</w:t>
      </w:r>
      <w:r>
        <w:rPr>
          <w:rStyle w:val="OperatorTok"/>
        </w:rPr>
        <w:t xml:space="preserve">,</w:t>
      </w:r>
      <w:r>
        <w:rPr>
          <w:rStyle w:val="NormalTok"/>
        </w:rPr>
        <w:t xml:space="preserve"> </w:t>
      </w:r>
      <w:r>
        <w:rPr>
          <w:rStyle w:val="StringTok"/>
        </w:rPr>
        <w:t xml:space="preserve">"Compliance-AT3-SYSADMIN-2026"</w:t>
      </w:r>
      <w:r>
        <w:rPr>
          <w:rStyle w:val="OperatorTok"/>
        </w:rPr>
        <w:t xml:space="preserve">,</w:t>
      </w:r>
      <w:r>
        <w:br/>
      </w:r>
      <w:r>
        <w:rPr>
          <w:rStyle w:val="NormalTok"/>
        </w:rPr>
        <w:t xml:space="preserve">                       </w:t>
      </w:r>
      <w:r>
        <w:rPr>
          <w:rStyle w:val="StringTok"/>
        </w:rPr>
        <w:t xml:space="preserve">"Compliance-AT3-DEV-2026"</w:t>
      </w:r>
      <w:r>
        <w:rPr>
          <w:rStyle w:val="OperatorTok"/>
        </w:rPr>
        <w:t xml:space="preserve">,</w:t>
      </w:r>
      <w:r>
        <w:rPr>
          <w:rStyle w:val="NormalTok"/>
        </w:rPr>
        <w:t xml:space="preserve"> </w:t>
      </w:r>
      <w:r>
        <w:rPr>
          <w:rStyle w:val="StringTok"/>
        </w:rPr>
        <w:t xml:space="preserve">"Compliance-AT3-IR-2026"</w:t>
      </w:r>
      <w:r>
        <w:rPr>
          <w:rStyle w:val="OperatorTok"/>
        </w:rPr>
        <w:t xml:space="preserve">)</w:t>
      </w:r>
      <w:r>
        <w:br/>
      </w:r>
      <w:r>
        <w:rPr>
          <w:rStyle w:val="OperatorTok"/>
        </w:rPr>
        <w:t xml:space="preserve">}</w:t>
      </w:r>
      <w:r>
        <w:br/>
      </w:r>
      <w:r>
        <w:br/>
      </w:r>
      <w:r>
        <w:rPr>
          <w:rStyle w:val="CommentTok"/>
        </w:rPr>
        <w:t xml:space="preserve"># Export to JSON for governance substrate ingestion</w:t>
      </w:r>
      <w:r>
        <w:br/>
      </w:r>
      <w:r>
        <w:rPr>
          <w:rStyle w:val="VariableTok"/>
        </w:rPr>
        <w:t xml:space="preserve">$aanCourses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StringTok"/>
        </w:rPr>
        <w:t xml:space="preserve">"training-record-</w:t>
      </w:r>
      <w:r>
        <w:rPr>
          <w:rStyle w:val="OperatorTok"/>
        </w:rPr>
        <w:t xml:space="preserve">$((</w:t>
      </w:r>
      <w:r>
        <w:rPr>
          <w:rStyle w:val="FunctionTok"/>
        </w:rPr>
        <w:t xml:space="preserve">Get-Date</w:t>
      </w:r>
      <w:r>
        <w:rPr>
          <w:rStyle w:val="OperatorTok"/>
        </w:rPr>
        <w:t xml:space="preserve">)</w:t>
      </w:r>
      <w:r>
        <w:rPr>
          <w:rStyle w:val="StringTok"/>
        </w:rPr>
        <w:t xml:space="preserve">.Year)Q</w:t>
      </w:r>
      <w:r>
        <w:rPr>
          <w:rStyle w:val="OperatorTok"/>
        </w:rPr>
        <w:t xml:space="preserve">$([</w:t>
      </w:r>
      <w:r>
        <w:rPr>
          <w:rStyle w:val="NormalTok"/>
        </w:rPr>
        <w:t xml:space="preserve">math</w:t>
      </w:r>
      <w:r>
        <w:rPr>
          <w:rStyle w:val="OperatorTok"/>
        </w:rPr>
        <w:t xml:space="preserve">]::</w:t>
      </w:r>
      <w:r>
        <w:rPr>
          <w:rStyle w:val="NormalTok"/>
        </w:rPr>
        <w:t xml:space="preserve">Ceiling</w:t>
      </w:r>
      <w:r>
        <w:rPr>
          <w:rStyle w:val="OperatorTok"/>
        </w:rPr>
        <w:t xml:space="preserve">((</w:t>
      </w:r>
      <w:r>
        <w:rPr>
          <w:rStyle w:val="FunctionTok"/>
        </w:rPr>
        <w:t xml:space="preserve">Get-Date</w:t>
      </w:r>
      <w:r>
        <w:rPr>
          <w:rStyle w:val="OperatorTok"/>
        </w:rPr>
        <w:t xml:space="preserve">)</w:t>
      </w:r>
      <w:r>
        <w:rPr>
          <w:rStyle w:val="StringTok"/>
        </w:rPr>
        <w:t xml:space="preserve">.Month/3)).json"</w:t>
      </w:r>
    </w:p>
    <w:bookmarkEnd w:id="39"/>
    <w:bookmarkStart w:id="40" w:name="automated-monthly-export"/>
    <w:p>
      <w:pPr>
        <w:pStyle w:val="Heading3"/>
      </w:pPr>
      <w:r>
        <w:t xml:space="preserve">7.3.2 Automated Monthly Export</w:t>
      </w:r>
    </w:p>
    <w:p>
      <w:pPr>
        <w:pStyle w:val="FirstParagraph"/>
      </w:pPr>
      <w:r>
        <w:t xml:space="preserve">The training completion export should run on a monthly schedule so the</w:t>
      </w:r>
      <w:r>
        <w:t xml:space="preserve"> </w:t>
      </w:r>
      <w:r>
        <w:t xml:space="preserve">governance substrate always reflects current completion status. The recommended</w:t>
      </w:r>
      <w:r>
        <w:t xml:space="preserve"> </w:t>
      </w:r>
      <w:r>
        <w:t xml:space="preserve">pattern:</w:t>
      </w:r>
    </w:p>
    <w:p>
      <w:pPr>
        <w:pStyle w:val="Compact"/>
        <w:numPr>
          <w:ilvl w:val="0"/>
          <w:numId w:val="1007"/>
        </w:numPr>
      </w:pPr>
      <w:r>
        <w:rPr>
          <w:b/>
          <w:bCs/>
        </w:rPr>
        <w:t xml:space="preserve">Logic App or Azure Automation runbook</w:t>
      </w:r>
      <w:r>
        <w:t xml:space="preserve"> </w:t>
      </w:r>
      <w:r>
        <w:t xml:space="preserve">triggers on the 1st of each month</w:t>
      </w:r>
    </w:p>
    <w:p>
      <w:pPr>
        <w:pStyle w:val="Compact"/>
        <w:numPr>
          <w:ilvl w:val="0"/>
          <w:numId w:val="1007"/>
        </w:numPr>
      </w:pPr>
      <w:r>
        <w:rPr>
          <w:b/>
          <w:bCs/>
        </w:rPr>
        <w:t xml:space="preserve">Graph API call</w:t>
      </w:r>
      <w:r>
        <w:t xml:space="preserve"> </w:t>
      </w:r>
      <w:r>
        <w:t xml:space="preserve">retrieves completion records for all Compliance training courses</w:t>
      </w:r>
    </w:p>
    <w:p>
      <w:pPr>
        <w:pStyle w:val="Compact"/>
        <w:numPr>
          <w:ilvl w:val="0"/>
          <w:numId w:val="1007"/>
        </w:numPr>
      </w:pPr>
      <w:r>
        <w:rPr>
          <w:b/>
          <w:bCs/>
        </w:rPr>
        <w:t xml:space="preserve">Transform</w:t>
      </w:r>
      <w:r>
        <w:t xml:space="preserve"> </w:t>
      </w:r>
      <w:r>
        <w:t xml:space="preserve">maps Graph API response to the</w:t>
      </w:r>
      <w:r>
        <w:t xml:space="preserve"> </w:t>
      </w:r>
      <w:r>
        <w:rPr>
          <w:rStyle w:val="VerbatimChar"/>
        </w:rPr>
        <w:t xml:space="preserve">training-effectiveness-record</w:t>
      </w:r>
      <w:r>
        <w:t xml:space="preserve"> </w:t>
      </w:r>
      <w:r>
        <w:t xml:space="preserve">schema</w:t>
      </w:r>
    </w:p>
    <w:p>
      <w:pPr>
        <w:pStyle w:val="Compact"/>
        <w:numPr>
          <w:ilvl w:val="0"/>
          <w:numId w:val="1007"/>
        </w:numPr>
      </w:pPr>
      <w:r>
        <w:rPr>
          <w:b/>
          <w:bCs/>
        </w:rPr>
        <w:t xml:space="preserve">Storage</w:t>
      </w:r>
      <w:r>
        <w:t xml:space="preserve"> </w:t>
      </w:r>
      <w:r>
        <w:t xml:space="preserve">writes the JSON to the governance record store (Azure Storage, GCC-compliant)</w:t>
      </w:r>
    </w:p>
    <w:p>
      <w:pPr>
        <w:pStyle w:val="Compact"/>
        <w:numPr>
          <w:ilvl w:val="0"/>
          <w:numId w:val="1007"/>
        </w:numPr>
      </w:pPr>
      <w:r>
        <w:rPr>
          <w:b/>
          <w:bCs/>
        </w:rPr>
        <w:t xml:space="preserve">governance substrate pull</w:t>
      </w:r>
      <w:r>
        <w:t xml:space="preserve"> </w:t>
      </w:r>
      <w:r>
        <w:t xml:space="preserve">ingests the record on the next evidence collection cycle</w:t>
      </w:r>
    </w:p>
    <w:p>
      <w:r>
        <w:pict>
          <v:rect style="width:0;height:1.5pt" o:hralign="center" o:hrstd="t" o:hr="t"/>
        </w:pict>
      </w:r>
    </w:p>
    <w:bookmarkEnd w:id="40"/>
    <w:bookmarkEnd w:id="41"/>
    <w:bookmarkEnd w:id="42"/>
    <w:bookmarkStart w:id="46" w:name="nist-control-closure"/>
    <w:p>
      <w:pPr>
        <w:pStyle w:val="Heading1"/>
      </w:pPr>
      <w:r>
        <w:t xml:space="preserve">8. NIST Control Closure</w:t>
      </w:r>
    </w:p>
    <w:bookmarkStart w:id="43" w:name="at-family-awareness-and-training"/>
    <w:p>
      <w:pPr>
        <w:pStyle w:val="Heading2"/>
      </w:pPr>
      <w:r>
        <w:t xml:space="preserve">8.1 AT Family — Awareness and Training</w:t>
      </w:r>
    </w:p>
    <w:p>
      <w:pPr>
        <w:pStyle w:val="TableCaption"/>
      </w:pPr>
      <w:r>
        <w:t xml:space="preserve">AT Family Control Closure</w:t>
      </w:r>
    </w:p>
    <w:tbl>
      <w:tblPr>
        <w:tblStyle w:val="Table"/>
        <w:tblW w:type="pct" w:w="5000"/>
        <w:tblLayout w:type="fixed"/>
        <w:tblLook w:firstRow="1" w:lastRow="0" w:firstColumn="0" w:lastColumn="0" w:noHBand="0" w:noVBand="0" w:val="0020"/>
        <w:tblCaption w:val="AT Family Control Closure"/>
      </w:tblPr>
      <w:tblGrid>
        <w:gridCol w:w="1425"/>
        <w:gridCol w:w="2059"/>
        <w:gridCol w:w="4435"/>
      </w:tblGrid>
      <w:tr>
        <w:trPr>
          <w:tblHeader w:val="on"/>
        </w:trPr>
        <w:tc>
          <w:tcPr/>
          <w:p>
            <w:pPr>
              <w:pStyle w:val="Compact"/>
            </w:pPr>
            <w:r>
              <w:t xml:space="preserve">Control</w:t>
            </w:r>
          </w:p>
        </w:tc>
        <w:tc>
          <w:tcPr/>
          <w:p>
            <w:pPr>
              <w:pStyle w:val="Compact"/>
            </w:pPr>
            <w:r>
              <w:t xml:space="preserve">Requirement</w:t>
            </w:r>
          </w:p>
        </w:tc>
        <w:tc>
          <w:tcPr/>
          <w:p>
            <w:pPr>
              <w:pStyle w:val="Compact"/>
            </w:pPr>
            <w:r>
              <w:t xml:space="preserve">How This Document Closes It</w:t>
            </w:r>
          </w:p>
        </w:tc>
      </w:tr>
      <w:tr>
        <w:tc>
          <w:tcPr/>
          <w:p>
            <w:pPr>
              <w:pStyle w:val="Compact"/>
            </w:pPr>
            <w:r>
              <w:rPr>
                <w:b/>
                <w:bCs/>
              </w:rPr>
              <w:t xml:space="preserve">AT-2</w:t>
            </w:r>
          </w:p>
        </w:tc>
        <w:tc>
          <w:tcPr/>
          <w:p>
            <w:pPr>
              <w:pStyle w:val="Compact"/>
            </w:pPr>
            <w:r>
              <w:t xml:space="preserve">Security awareness training for all personnel before access and annually</w:t>
            </w:r>
          </w:p>
        </w:tc>
        <w:tc>
          <w:tcPr/>
          <w:p>
            <w:pPr>
              <w:pStyle w:val="Compact"/>
            </w:pPr>
            <w:r>
              <w:t xml:space="preserve">Annual Viva Learning program covering all 8 modules; phishing simulation quarterly; LMS completion record as AT-4 evidence</w:t>
            </w:r>
          </w:p>
        </w:tc>
      </w:tr>
      <w:tr>
        <w:tc>
          <w:tcPr/>
          <w:p>
            <w:pPr>
              <w:pStyle w:val="Compact"/>
            </w:pPr>
            <w:r>
              <w:rPr>
                <w:b/>
                <w:bCs/>
              </w:rPr>
              <w:t xml:space="preserve">AT-2(1)</w:t>
            </w:r>
          </w:p>
        </w:tc>
        <w:tc>
          <w:tcPr/>
          <w:p>
            <w:pPr>
              <w:pStyle w:val="Compact"/>
            </w:pPr>
            <w:r>
              <w:t xml:space="preserve">Practical exercises</w:t>
            </w:r>
          </w:p>
        </w:tc>
        <w:tc>
          <w:tcPr/>
          <w:p>
            <w:pPr>
              <w:pStyle w:val="Compact"/>
            </w:pPr>
            <w:r>
              <w:t xml:space="preserve">Quarterly phishing simulation with click-rate tracking and remedial training trigger</w:t>
            </w:r>
          </w:p>
        </w:tc>
      </w:tr>
      <w:tr>
        <w:tc>
          <w:tcPr/>
          <w:p>
            <w:pPr>
              <w:pStyle w:val="Compact"/>
            </w:pPr>
            <w:r>
              <w:rPr>
                <w:b/>
                <w:bCs/>
              </w:rPr>
              <w:t xml:space="preserve">AT-2(2)</w:t>
            </w:r>
          </w:p>
        </w:tc>
        <w:tc>
          <w:tcPr/>
          <w:p>
            <w:pPr>
              <w:pStyle w:val="Compact"/>
            </w:pPr>
            <w:r>
              <w:t xml:space="preserve">Insider threat awareness</w:t>
            </w:r>
          </w:p>
        </w:tc>
        <w:tc>
          <w:tcPr/>
          <w:p>
            <w:pPr>
              <w:pStyle w:val="Compact"/>
            </w:pPr>
            <w:r>
              <w:t xml:space="preserve">Dedicated insider threat module in annual awareness program</w:t>
            </w:r>
          </w:p>
        </w:tc>
      </w:tr>
      <w:tr>
        <w:tc>
          <w:tcPr/>
          <w:p>
            <w:pPr>
              <w:pStyle w:val="Compact"/>
            </w:pPr>
            <w:r>
              <w:rPr>
                <w:b/>
                <w:bCs/>
              </w:rPr>
              <w:t xml:space="preserve">AT-3</w:t>
            </w:r>
          </w:p>
        </w:tc>
        <w:tc>
          <w:tcPr/>
          <w:p>
            <w:pPr>
              <w:pStyle w:val="Compact"/>
            </w:pPr>
            <w:r>
              <w:t xml:space="preserve">Role-based training for personnel with security responsibilities</w:t>
            </w:r>
          </w:p>
        </w:tc>
        <w:tc>
          <w:tcPr/>
          <w:p>
            <w:pPr>
              <w:pStyle w:val="Compact"/>
            </w:pPr>
            <w:r>
              <w:t xml:space="preserve">Six-tier role matrix with distinct curricula; completion tracked separately per tier</w:t>
            </w:r>
          </w:p>
        </w:tc>
      </w:tr>
      <w:tr>
        <w:tc>
          <w:tcPr/>
          <w:p>
            <w:pPr>
              <w:pStyle w:val="Compact"/>
            </w:pPr>
            <w:r>
              <w:rPr>
                <w:b/>
                <w:bCs/>
              </w:rPr>
              <w:t xml:space="preserve">AT-3(3)</w:t>
            </w:r>
          </w:p>
        </w:tc>
        <w:tc>
          <w:tcPr/>
          <w:p>
            <w:pPr>
              <w:pStyle w:val="Compact"/>
            </w:pPr>
            <w:r>
              <w:t xml:space="preserve">Practical exercises for high-risk roles</w:t>
            </w:r>
          </w:p>
        </w:tc>
        <w:tc>
          <w:tcPr/>
          <w:p>
            <w:pPr>
              <w:pStyle w:val="Compact"/>
            </w:pPr>
            <w:r>
              <w:t xml:space="preserve">Hands-on SBOM/Grype labs for Tier 3; Sentinel drill exercises for Tier 4; tabletop participation for Tier 1</w:t>
            </w:r>
          </w:p>
        </w:tc>
      </w:tr>
      <w:tr>
        <w:tc>
          <w:tcPr/>
          <w:p>
            <w:pPr>
              <w:pStyle w:val="Compact"/>
            </w:pPr>
            <w:r>
              <w:rPr>
                <w:b/>
                <w:bCs/>
              </w:rPr>
              <w:t xml:space="preserve">AT-3(5)</w:t>
            </w:r>
          </w:p>
        </w:tc>
        <w:tc>
          <w:tcPr/>
          <w:p>
            <w:pPr>
              <w:pStyle w:val="Compact"/>
            </w:pPr>
            <w:r>
              <w:t xml:space="preserve">Processing Personally Identifiable Information</w:t>
            </w:r>
          </w:p>
        </w:tc>
        <w:tc>
          <w:tcPr/>
          <w:p>
            <w:pPr>
              <w:pStyle w:val="Compact"/>
            </w:pPr>
            <w:r>
              <w:t xml:space="preserve">Purview DLP and sensitivity label training for Tier 5 data stewards; connects to Vol IV Book 04</w:t>
            </w:r>
          </w:p>
        </w:tc>
      </w:tr>
      <w:tr>
        <w:tc>
          <w:tcPr/>
          <w:p>
            <w:pPr>
              <w:pStyle w:val="Compact"/>
            </w:pPr>
            <w:r>
              <w:rPr>
                <w:b/>
                <w:bCs/>
              </w:rPr>
              <w:t xml:space="preserve">AT-4</w:t>
            </w:r>
          </w:p>
        </w:tc>
        <w:tc>
          <w:tcPr/>
          <w:p>
            <w:pPr>
              <w:pStyle w:val="Compact"/>
            </w:pPr>
            <w:r>
              <w:t xml:space="preserve">Training records</w:t>
            </w:r>
          </w:p>
        </w:tc>
        <w:tc>
          <w:tcPr/>
          <w:p>
            <w:pPr>
              <w:pStyle w:val="Compact"/>
            </w:pPr>
            <w:r>
              <w:t xml:space="preserve">LMS-agnostic</w:t>
            </w:r>
            <w:r>
              <w:t xml:space="preserve"> </w:t>
            </w:r>
            <w:r>
              <w:rPr>
                <w:rStyle w:val="VerbatimChar"/>
              </w:rPr>
              <w:t xml:space="preserve">governance.training-effectiveness-record</w:t>
            </w:r>
            <w:r>
              <w:t xml:space="preserve"> </w:t>
            </w:r>
            <w:r>
              <w:t xml:space="preserve">JSON schema (the evidence contract); current adapter: Viva Learning Graph API export; monthly automated pull to governance substrate</w:t>
            </w:r>
          </w:p>
        </w:tc>
      </w:tr>
    </w:tbl>
    <w:bookmarkEnd w:id="43"/>
    <w:bookmarkStart w:id="44" w:name="cp-and-ir-family-contributions"/>
    <w:p>
      <w:pPr>
        <w:pStyle w:val="Heading2"/>
      </w:pPr>
      <w:r>
        <w:t xml:space="preserve">8.2 CP and IR Family Contributions</w:t>
      </w:r>
    </w:p>
    <w:p>
      <w:pPr>
        <w:pStyle w:val="TableCaption"/>
      </w:pPr>
      <w:r>
        <w:t xml:space="preserve">CP-3 and IR-2 Contributions</w:t>
      </w:r>
    </w:p>
    <w:tbl>
      <w:tblPr>
        <w:tblStyle w:val="Table"/>
        <w:tblW w:type="pct" w:w="5000"/>
        <w:tblLayout w:type="fixed"/>
        <w:tblLook w:firstRow="1" w:lastRow="0" w:firstColumn="0" w:lastColumn="0" w:noHBand="0" w:noVBand="0" w:val="0020"/>
        <w:tblCaption w:val="CP-3 and IR-2 Contributions"/>
      </w:tblPr>
      <w:tblGrid>
        <w:gridCol w:w="1827"/>
        <w:gridCol w:w="6092"/>
      </w:tblGrid>
      <w:tr>
        <w:trPr>
          <w:tblHeader w:val="on"/>
        </w:trPr>
        <w:tc>
          <w:tcPr/>
          <w:p>
            <w:pPr>
              <w:pStyle w:val="Compact"/>
            </w:pPr>
            <w:r>
              <w:t xml:space="preserve">Control</w:t>
            </w:r>
          </w:p>
        </w:tc>
        <w:tc>
          <w:tcPr/>
          <w:p>
            <w:pPr>
              <w:pStyle w:val="Compact"/>
            </w:pPr>
            <w:r>
              <w:t xml:space="preserve">How This Document Contributes</w:t>
            </w:r>
          </w:p>
        </w:tc>
      </w:tr>
      <w:tr>
        <w:tc>
          <w:tcPr/>
          <w:p>
            <w:pPr>
              <w:pStyle w:val="Compact"/>
            </w:pPr>
            <w:r>
              <w:rPr>
                <w:b/>
                <w:bCs/>
              </w:rPr>
              <w:t xml:space="preserve">CP-3</w:t>
            </w:r>
          </w:p>
        </w:tc>
        <w:tc>
          <w:tcPr/>
          <w:p>
            <w:pPr>
              <w:pStyle w:val="Compact"/>
            </w:pPr>
            <w:r>
              <w:t xml:space="preserve">Annual tabletop calendar with four quarterly exercises; attendance and after-action records archived; feeds PM-14 T&amp;T&amp;M tracker</w:t>
            </w:r>
          </w:p>
        </w:tc>
      </w:tr>
      <w:tr>
        <w:tc>
          <w:tcPr/>
          <w:p>
            <w:pPr>
              <w:pStyle w:val="Compact"/>
            </w:pPr>
            <w:r>
              <w:rPr>
                <w:b/>
                <w:bCs/>
              </w:rPr>
              <w:t xml:space="preserve">IR-2</w:t>
            </w:r>
          </w:p>
        </w:tc>
        <w:tc>
          <w:tcPr/>
          <w:p>
            <w:pPr>
              <w:pStyle w:val="Compact"/>
            </w:pPr>
            <w:r>
              <w:t xml:space="preserve">Semi-annual IR procedure drills; quarterly Sentinel playbook exercises; scenario library maintained by SOC; after-action reports archived</w:t>
            </w:r>
          </w:p>
        </w:tc>
      </w:tr>
    </w:tbl>
    <w:bookmarkEnd w:id="44"/>
    <w:bookmarkStart w:id="45" w:name="X47bc072e4dc58c1e3bf6072845774aeb2838b07"/>
    <w:p>
      <w:pPr>
        <w:pStyle w:val="Heading2"/>
      </w:pPr>
      <w:r>
        <w:t xml:space="preserve">8.3 Net New Controls Closed by Vol IV Book 05</w:t>
      </w:r>
    </w:p>
    <w:p>
      <w:pPr>
        <w:pStyle w:val="TableCaption"/>
      </w:pPr>
      <w:r>
        <w:t xml:space="preserve">Vol IV Book 05 — Net New NIST SP 800-53 Rev 5 Controls Closed</w:t>
      </w:r>
    </w:p>
    <w:tbl>
      <w:tblPr>
        <w:tblStyle w:val="Table"/>
        <w:tblW w:type="pct" w:w="5000"/>
        <w:tblLayout w:type="fixed"/>
        <w:tblLook w:firstRow="1" w:lastRow="0" w:firstColumn="0" w:lastColumn="0" w:noHBand="0" w:noVBand="0" w:val="0020"/>
        <w:tblCaption w:val="Vol IV Book 05 — Net New NIST SP 800-53 Rev 5 Controls Closed"/>
      </w:tblPr>
      <w:tblGrid>
        <w:gridCol w:w="2640"/>
        <w:gridCol w:w="2970"/>
        <w:gridCol w:w="2310"/>
      </w:tblGrid>
      <w:tr>
        <w:trPr>
          <w:tblHeader w:val="on"/>
        </w:trPr>
        <w:tc>
          <w:tcPr/>
          <w:p>
            <w:pPr>
              <w:pStyle w:val="Compact"/>
            </w:pPr>
            <w:r>
              <w:t xml:space="preserve">Family</w:t>
            </w:r>
          </w:p>
        </w:tc>
        <w:tc>
          <w:tcPr/>
          <w:p>
            <w:pPr>
              <w:pStyle w:val="Compact"/>
            </w:pPr>
            <w:r>
              <w:t xml:space="preserve">Controls</w:t>
            </w:r>
          </w:p>
        </w:tc>
        <w:tc>
          <w:tcPr/>
          <w:p>
            <w:pPr>
              <w:pStyle w:val="Compact"/>
            </w:pPr>
            <w:r>
              <w:t xml:space="preserve">Count</w:t>
            </w:r>
          </w:p>
        </w:tc>
      </w:tr>
      <w:tr>
        <w:tc>
          <w:tcPr/>
          <w:p>
            <w:pPr>
              <w:pStyle w:val="Compact"/>
            </w:pPr>
            <w:r>
              <w:t xml:space="preserve">AT — Awareness and Training</w:t>
            </w:r>
          </w:p>
        </w:tc>
        <w:tc>
          <w:tcPr/>
          <w:p>
            <w:pPr>
              <w:pStyle w:val="Compact"/>
            </w:pPr>
            <w:r>
              <w:t xml:space="preserve">AT-2, AT-2(1), AT-2(2), AT-3, AT-3(3), AT-3(5), AT-4</w:t>
            </w:r>
          </w:p>
        </w:tc>
        <w:tc>
          <w:tcPr/>
          <w:p>
            <w:pPr>
              <w:pStyle w:val="Compact"/>
            </w:pPr>
            <w:r>
              <w:t xml:space="preserve">7</w:t>
            </w:r>
          </w:p>
        </w:tc>
      </w:tr>
      <w:tr>
        <w:tc>
          <w:tcPr/>
          <w:p>
            <w:pPr>
              <w:pStyle w:val="Compact"/>
            </w:pPr>
            <w:r>
              <w:t xml:space="preserve">CP — Contingency Planning</w:t>
            </w:r>
          </w:p>
        </w:tc>
        <w:tc>
          <w:tcPr/>
          <w:p>
            <w:pPr>
              <w:pStyle w:val="Compact"/>
            </w:pPr>
            <w:r>
              <w:t xml:space="preserve">CP-3 (tabletop evidence; plan execution link)</w:t>
            </w:r>
          </w:p>
        </w:tc>
        <w:tc>
          <w:tcPr/>
          <w:p>
            <w:pPr>
              <w:pStyle w:val="Compact"/>
            </w:pPr>
            <w:r>
              <w:t xml:space="preserve">1</w:t>
            </w:r>
          </w:p>
        </w:tc>
      </w:tr>
      <w:tr>
        <w:tc>
          <w:tcPr/>
          <w:p>
            <w:pPr>
              <w:pStyle w:val="Compact"/>
            </w:pPr>
            <w:r>
              <w:t xml:space="preserve">IR — Incident Response</w:t>
            </w:r>
          </w:p>
        </w:tc>
        <w:tc>
          <w:tcPr/>
          <w:p>
            <w:pPr>
              <w:pStyle w:val="Compact"/>
            </w:pPr>
            <w:r>
              <w:t xml:space="preserve">IR-2 (drill evidence; playbook link)</w:t>
            </w:r>
          </w:p>
        </w:tc>
        <w:tc>
          <w:tcPr/>
          <w:p>
            <w:pPr>
              <w:pStyle w:val="Compact"/>
            </w:pPr>
            <w:r>
              <w:t xml:space="preserve">1</w:t>
            </w:r>
          </w:p>
        </w:tc>
      </w:tr>
      <w:tr>
        <w:tc>
          <w:tcPr/>
          <w:p>
            <w:pPr>
              <w:pStyle w:val="Compact"/>
            </w:pPr>
            <w:r>
              <w:rPr>
                <w:b/>
                <w:bCs/>
              </w:rPr>
              <w:t xml:space="preserve">Total</w:t>
            </w:r>
          </w:p>
        </w:tc>
        <w:tc>
          <w:tcPr/>
          <w:p>
            <w:pPr>
              <w:pStyle w:val="Compact"/>
            </w:pPr>
          </w:p>
        </w:tc>
        <w:tc>
          <w:tcPr/>
          <w:p>
            <w:pPr>
              <w:pStyle w:val="Compact"/>
            </w:pPr>
            <w:r>
              <w:rPr>
                <w:b/>
                <w:bCs/>
              </w:rPr>
              <w:t xml:space="preserve">9 closure rows</w:t>
            </w:r>
            <w:r>
              <w:t xml:space="preserve"> </w:t>
            </w:r>
            <w:r>
              <w:t xml:space="preserve">(5 base + 4 enhancements)</w:t>
            </w:r>
          </w:p>
        </w:tc>
      </w:tr>
    </w:tbl>
    <w:p>
      <w:r>
        <w:pict>
          <v:rect style="width:0;height:1.5pt" o:hralign="center" o:hrstd="t" o:hr="t"/>
        </w:pict>
      </w:r>
    </w:p>
    <w:bookmarkEnd w:id="45"/>
    <w:bookmarkEnd w:id="46"/>
    <w:bookmarkStart w:id="50" w:name="ksi-ced-rat-activation"/>
    <w:p>
      <w:pPr>
        <w:pStyle w:val="Heading1"/>
      </w:pPr>
      <w:r>
        <w:t xml:space="preserve">9. KSI-CED-RAT Activation</w:t>
      </w:r>
    </w:p>
    <w:bookmarkStart w:id="47" w:name="evidence-contract"/>
    <w:p>
      <w:pPr>
        <w:pStyle w:val="Heading2"/>
      </w:pPr>
      <w:r>
        <w:t xml:space="preserve">9.1 Evidence Contract</w:t>
      </w:r>
    </w:p>
    <w:p>
      <w:pPr>
        <w:pStyle w:val="FirstParagraph"/>
      </w:pPr>
      <w:r>
        <w:t xml:space="preserve">KSI-022 (KSI-CED-RAT —</w:t>
      </w:r>
      <w:r>
        <w:t xml:space="preserve"> </w:t>
      </w:r>
      <w:r>
        <w:t xml:space="preserve">“Reviewing All Training”</w:t>
      </w:r>
      <w:r>
        <w:t xml:space="preserve">) is the final scaffold</w:t>
      </w:r>
      <w:r>
        <w:t xml:space="preserve"> </w:t>
      </w:r>
      <w:r>
        <w:t xml:space="preserve">rule in the internal CR26 ruleset. Its activation requires a</w:t>
      </w:r>
      <w:r>
        <w:t xml:space="preserve"> </w:t>
      </w:r>
      <w:r>
        <w:rPr>
          <w:rStyle w:val="VerbatimChar"/>
        </w:rPr>
        <w:t xml:space="preserve">governance.training-effectiveness-record</w:t>
      </w:r>
      <w:r>
        <w:t xml:space="preserve"> </w:t>
      </w:r>
      <w:r>
        <w:t xml:space="preserve">that demonstrates persistent</w:t>
      </w:r>
      <w:r>
        <w:t xml:space="preserve"> </w:t>
      </w:r>
      <w:r>
        <w:t xml:space="preserve">review of all four training dimensions.</w:t>
      </w:r>
    </w:p>
    <w:p>
      <w:pPr>
        <w:pStyle w:val="BodyText"/>
      </w:pPr>
      <w:r>
        <w:t xml:space="preserve">This document provides:</w:t>
      </w:r>
    </w:p>
    <w:p>
      <w:pPr>
        <w:numPr>
          <w:ilvl w:val="0"/>
          <w:numId w:val="1008"/>
        </w:numPr>
      </w:pPr>
      <w:r>
        <w:rPr>
          <w:b/>
          <w:bCs/>
        </w:rPr>
        <w:t xml:space="preserve">Dimension 1 (AT-2):</w:t>
      </w:r>
      <w:r>
        <w:t xml:space="preserve"> </w:t>
      </w:r>
      <w:r>
        <w:t xml:space="preserve">Annual Viva Learning program with monthly LMS</w:t>
      </w:r>
      <w:r>
        <w:t xml:space="preserve"> </w:t>
      </w:r>
      <w:r>
        <w:t xml:space="preserve">export — the record shows completion rate, population covered, and</w:t>
      </w:r>
      <w:r>
        <w:t xml:space="preserve"> </w:t>
      </w:r>
      <w:r>
        <w:t xml:space="preserve">phishing simulation results</w:t>
      </w:r>
    </w:p>
    <w:p>
      <w:pPr>
        <w:numPr>
          <w:ilvl w:val="0"/>
          <w:numId w:val="1008"/>
        </w:numPr>
      </w:pPr>
      <w:r>
        <w:rPr>
          <w:b/>
          <w:bCs/>
        </w:rPr>
        <w:t xml:space="preserve">Dimension 2 (AT-3 role-based):</w:t>
      </w:r>
      <w:r>
        <w:t xml:space="preserve"> </w:t>
      </w:r>
      <w:r>
        <w:t xml:space="preserve">Six-tier completion record in the</w:t>
      </w:r>
      <w:r>
        <w:t xml:space="preserve"> </w:t>
      </w:r>
      <w:r>
        <w:t xml:space="preserve">JSON schema — each tier tracked separately, completion rate and overdue</w:t>
      </w:r>
      <w:r>
        <w:t xml:space="preserve"> </w:t>
      </w:r>
      <w:r>
        <w:t xml:space="preserve">count visible</w:t>
      </w:r>
    </w:p>
    <w:p>
      <w:pPr>
        <w:numPr>
          <w:ilvl w:val="0"/>
          <w:numId w:val="1008"/>
        </w:numPr>
      </w:pPr>
      <w:r>
        <w:rPr>
          <w:b/>
          <w:bCs/>
        </w:rPr>
        <w:t xml:space="preserve">Dimension 3 (AT-3 secure delivery):</w:t>
      </w:r>
      <w:r>
        <w:t xml:space="preserve"> </w:t>
      </w:r>
      <w:r>
        <w:t xml:space="preserve">Developer lab completion</w:t>
      </w:r>
      <w:r>
        <w:t xml:space="preserve"> </w:t>
      </w:r>
      <w:r>
        <w:t xml:space="preserve">records and course transcripts — Syft/Grype labs produce a</w:t>
      </w:r>
      <w:r>
        <w:t xml:space="preserve"> </w:t>
      </w:r>
      <w:r>
        <w:t xml:space="preserve">participation record</w:t>
      </w:r>
    </w:p>
    <w:p>
      <w:pPr>
        <w:numPr>
          <w:ilvl w:val="0"/>
          <w:numId w:val="1008"/>
        </w:numPr>
      </w:pPr>
      <w:r>
        <w:rPr>
          <w:b/>
          <w:bCs/>
        </w:rPr>
        <w:t xml:space="preserve">Dimension 4 (IR-2/CP-3):</w:t>
      </w:r>
      <w:r>
        <w:t xml:space="preserve"> </w:t>
      </w:r>
      <w:r>
        <w:t xml:space="preserve">Tabletop attendance records and after-action</w:t>
      </w:r>
      <w:r>
        <w:t xml:space="preserve"> </w:t>
      </w:r>
      <w:r>
        <w:t xml:space="preserve">reports — archived documents with dates, attendees, and findings</w:t>
      </w:r>
    </w:p>
    <w:p>
      <w:pPr>
        <w:pStyle w:val="FirstParagraph"/>
      </w:pPr>
      <w:r>
        <w:t xml:space="preserve">When the monthly LMS export is running and the governance substrate is ingesting</w:t>
      </w:r>
      <w:r>
        <w:t xml:space="preserve"> </w:t>
      </w:r>
      <w:r>
        <w:t xml:space="preserve">it, the</w:t>
      </w:r>
      <w:r>
        <w:t xml:space="preserve"> </w:t>
      </w:r>
      <w:r>
        <w:rPr>
          <w:rStyle w:val="VerbatimChar"/>
        </w:rPr>
        <w:t xml:space="preserve">ksi_ced_rat_status</w:t>
      </w:r>
      <w:r>
        <w:t xml:space="preserve"> </w:t>
      </w:r>
      <w:r>
        <w:t xml:space="preserve">field in the record evaluates to</w:t>
      </w:r>
      <w:r>
        <w:t xml:space="preserve"> </w:t>
      </w:r>
      <w:r>
        <w:rPr>
          <w:rStyle w:val="VerbatimChar"/>
        </w:rPr>
        <w:t xml:space="preserve">PASS</w:t>
      </w:r>
      <w:r>
        <w:t xml:space="preserve"> </w:t>
      </w:r>
      <w:r>
        <w:t xml:space="preserve">when:</w:t>
      </w:r>
    </w:p>
    <w:p>
      <w:pPr>
        <w:pStyle w:val="Compact"/>
        <w:numPr>
          <w:ilvl w:val="0"/>
          <w:numId w:val="1009"/>
        </w:numPr>
      </w:pPr>
      <w:r>
        <w:t xml:space="preserve">AT-2 completion rate ≥ 95% (allowing for onboarding lag and approved exceptions)</w:t>
      </w:r>
    </w:p>
    <w:p>
      <w:pPr>
        <w:pStyle w:val="Compact"/>
        <w:numPr>
          <w:ilvl w:val="0"/>
          <w:numId w:val="1009"/>
        </w:numPr>
      </w:pPr>
      <w:r>
        <w:t xml:space="preserve">AT-3 completion rate ≥ 95% per tier</w:t>
      </w:r>
    </w:p>
    <w:p>
      <w:pPr>
        <w:pStyle w:val="Compact"/>
        <w:numPr>
          <w:ilvl w:val="0"/>
          <w:numId w:val="1009"/>
        </w:numPr>
      </w:pPr>
      <w:r>
        <w:t xml:space="preserve">AT-3 secure delivery completion rate ≥ 95%</w:t>
      </w:r>
    </w:p>
    <w:p>
      <w:pPr>
        <w:pStyle w:val="Compact"/>
        <w:numPr>
          <w:ilvl w:val="0"/>
          <w:numId w:val="1009"/>
        </w:numPr>
      </w:pPr>
      <w:r>
        <w:t xml:space="preserve">IR/DR drills conducted on schedule (both semi-annual drills run; tabletop run)</w:t>
      </w:r>
    </w:p>
    <w:bookmarkEnd w:id="47"/>
    <w:bookmarkStart w:id="48" w:name="ksi-022-status-after-vol-iv-book-05"/>
    <w:p>
      <w:pPr>
        <w:pStyle w:val="Heading2"/>
      </w:pPr>
      <w:r>
        <w:t xml:space="preserve">9.2 KSI-022 Status After Vol IV Book 05</w:t>
      </w:r>
    </w:p>
    <w:p>
      <w:pPr>
        <w:pStyle w:val="FirstParagraph"/>
      </w:pPr>
      <w:r>
        <w:t xml:space="preserve">Once the monthly LMS export is operational and the first</w:t>
      </w:r>
      <w:r>
        <w:t xml:space="preserve"> </w:t>
      </w:r>
      <w:r>
        <w:rPr>
          <w:rStyle w:val="VerbatimChar"/>
        </w:rPr>
        <w:t xml:space="preserve">training-effectiveness-record</w:t>
      </w:r>
      <w:r>
        <w:t xml:space="preserve"> </w:t>
      </w:r>
      <w:r>
        <w:t xml:space="preserve">is ingested by the governance substrate:</w:t>
      </w:r>
    </w:p>
    <w:p>
      <w:pPr>
        <w:pStyle w:val="Compact"/>
        <w:numPr>
          <w:ilvl w:val="0"/>
          <w:numId w:val="1010"/>
        </w:numPr>
      </w:pPr>
      <w:r>
        <w:rPr>
          <w:b/>
          <w:bCs/>
        </w:rPr>
        <w:t xml:space="preserve">KSI-022 status:</w:t>
      </w:r>
      <w:r>
        <w:t xml:space="preserve"> </w:t>
      </w:r>
      <w:r>
        <w:t xml:space="preserve">scaffold →</w:t>
      </w:r>
      <w:r>
        <w:t xml:space="preserve"> </w:t>
      </w:r>
      <w:r>
        <w:rPr>
          <w:b/>
          <w:bCs/>
        </w:rPr>
        <w:t xml:space="preserve">active</w:t>
      </w:r>
    </w:p>
    <w:p>
      <w:pPr>
        <w:pStyle w:val="Compact"/>
        <w:numPr>
          <w:ilvl w:val="0"/>
          <w:numId w:val="1010"/>
        </w:numPr>
      </w:pPr>
      <w:r>
        <w:rPr>
          <w:b/>
          <w:bCs/>
        </w:rPr>
        <w:t xml:space="preserve">Confidence:</w:t>
      </w:r>
      <w:r>
        <w:t xml:space="preserve"> </w:t>
      </w:r>
      <w:r>
        <w:t xml:space="preserve">low →</w:t>
      </w:r>
      <w:r>
        <w:t xml:space="preserve"> </w:t>
      </w:r>
      <w:r>
        <w:rPr>
          <w:b/>
          <w:bCs/>
        </w:rPr>
        <w:t xml:space="preserve">high</w:t>
      </w:r>
      <w:r>
        <w:t xml:space="preserve"> </w:t>
      </w:r>
      <w:r>
        <w:t xml:space="preserve">(pending first full-year completion cycle)</w:t>
      </w:r>
    </w:p>
    <w:p>
      <w:pPr>
        <w:pStyle w:val="Compact"/>
        <w:numPr>
          <w:ilvl w:val="0"/>
          <w:numId w:val="1010"/>
        </w:numPr>
      </w:pPr>
      <w:r>
        <w:rPr>
          <w:b/>
          <w:bCs/>
        </w:rPr>
        <w:t xml:space="preserve">Internal KSI rule-set coverage:</w:t>
      </w:r>
      <w:r>
        <w:t xml:space="preserve"> </w:t>
      </w:r>
      <w:r>
        <w:t xml:space="preserve">28/29 →</w:t>
      </w:r>
      <w:r>
        <w:t xml:space="preserve"> </w:t>
      </w:r>
      <w:r>
        <w:rPr>
          <w:b/>
          <w:bCs/>
        </w:rPr>
        <w:t xml:space="preserve">29/29 active</w:t>
      </w:r>
      <w:r>
        <w:t xml:space="preserve"> </w:t>
      </w:r>
      <w:r>
        <w:t xml:space="preserve">— all 29</w:t>
      </w:r>
      <w:r>
        <w:t xml:space="preserve"> </w:t>
      </w:r>
      <w:r>
        <w:t xml:space="preserve">internal rules are now evaluable (this is the series’ internal KSI</w:t>
      </w:r>
      <w:r>
        <w:t xml:space="preserve"> </w:t>
      </w:r>
      <w:r>
        <w:t xml:space="preserve">decomposition,</w:t>
      </w:r>
      <w:r>
        <w:t xml:space="preserve"> </w:t>
      </w:r>
      <w:r>
        <w:rPr>
          <w:b/>
          <w:bCs/>
        </w:rPr>
        <w:t xml:space="preserve">not</w:t>
      </w:r>
      <w:r>
        <w:t xml:space="preserve"> </w:t>
      </w:r>
      <w:r>
        <w:t xml:space="preserve">the CR26 Moderate indicator catalog).</w:t>
      </w:r>
    </w:p>
    <w:p>
      <w:pPr>
        <w:pStyle w:val="Compact"/>
        <w:numPr>
          <w:ilvl w:val="0"/>
          <w:numId w:val="1010"/>
        </w:numPr>
      </w:pPr>
      <w:r>
        <w:rPr>
          <w:b/>
          <w:bCs/>
        </w:rPr>
        <w:t xml:space="preserve">CR26 indicator coverage:</w:t>
      </w:r>
      <w:r>
        <w:t xml:space="preserve"> </w:t>
      </w:r>
      <w:r>
        <w:rPr>
          <w:b/>
          <w:bCs/>
        </w:rPr>
        <w:t xml:space="preserve">19 of 46</w:t>
      </w:r>
      <w:r>
        <w:t xml:space="preserve"> </w:t>
      </w:r>
      <w:r>
        <w:t xml:space="preserve">CR26 indicators explicitly mapped 1:1</w:t>
      </w:r>
      <w:r>
        <w:t xml:space="preserve"> </w:t>
      </w:r>
      <w:r>
        <w:t xml:space="preserve">to an internal rule (themes CMT · PIY · SCR · CED · INR · RPL fully mapped);</w:t>
      </w:r>
      <w:r>
        <w:t xml:space="preserve"> </w:t>
      </w:r>
      <w:r>
        <w:t xml:space="preserve">the remaining</w:t>
      </w:r>
      <w:r>
        <w:t xml:space="preserve"> </w:t>
      </w:r>
      <w:r>
        <w:rPr>
          <w:b/>
          <w:bCs/>
        </w:rPr>
        <w:t xml:space="preserve">27</w:t>
      </w:r>
      <w:r>
        <w:t xml:space="preserve"> </w:t>
      </w:r>
      <w:r>
        <w:t xml:space="preserve">indicators (IAM · CNA · SVC · MLA) are attested at the</w:t>
      </w:r>
      <w:r>
        <w:t xml:space="preserve"> </w:t>
      </w:r>
      <w:r>
        <w:t xml:space="preserve">CISA ScuBA baseline level only, not yet bound to a CR26 indicator ID. See</w:t>
      </w:r>
      <w:r>
        <w:t xml:space="preserve"> </w:t>
      </w:r>
      <w:r>
        <w:rPr>
          <w:rStyle w:val="VerbatimChar"/>
        </w:rPr>
        <w:t xml:space="preserve">Compliance_CR26_Reconciliation.md</w:t>
      </w:r>
      <w:r>
        <w:t xml:space="preserve">.</w:t>
      </w:r>
    </w:p>
    <w:p>
      <w:pPr>
        <w:pStyle w:val="FirstParagraph"/>
      </w:pPr>
      <w:r>
        <w:rPr>
          <w:b/>
          <w:bCs/>
        </w:rPr>
        <w:t xml:space="preserve">This makes all 29 internal KSI rules active/evaluable; it does not complete</w:t>
      </w:r>
      <w:r>
        <w:rPr>
          <w:b/>
          <w:bCs/>
        </w:rPr>
        <w:t xml:space="preserve"> </w:t>
      </w:r>
      <w:r>
        <w:rPr>
          <w:b/>
          <w:bCs/>
        </w:rPr>
        <w:t xml:space="preserve">CR26 indicator coverage</w:t>
      </w:r>
      <w:r>
        <w:t xml:space="preserve"> </w:t>
      </w:r>
      <w:r>
        <w:t xml:space="preserve">— that stands at 19/46, with 27 indicators pending</w:t>
      </w:r>
      <w:r>
        <w:t xml:space="preserve"> </w:t>
      </w:r>
      <w:r>
        <w:t xml:space="preserve">reconciliation to the finalized CR26 Moderate list and independent SCA. The</w:t>
      </w:r>
      <w:r>
        <w:t xml:space="preserve"> </w:t>
      </w:r>
      <w:r>
        <w:t xml:space="preserve">eleven-volume Federal Compliance series is</w:t>
      </w:r>
      <w:r>
        <w:t xml:space="preserve"> </w:t>
      </w:r>
      <w:r>
        <w:rPr>
          <w:b/>
          <w:bCs/>
        </w:rPr>
        <w:t xml:space="preserve">self-assessed against</w:t>
      </w:r>
      <w:r>
        <w:rPr>
          <w:b/>
          <w:bCs/>
        </w:rPr>
        <w:t xml:space="preserve"> </w:t>
      </w:r>
      <w:r>
        <w:rPr>
          <w:b/>
          <w:bCs/>
        </w:rPr>
        <w:t xml:space="preserve">the series’ internal KSI decomposition</w:t>
      </w:r>
      <w:r>
        <w:t xml:space="preserve"> </w:t>
      </w:r>
      <w:r>
        <w:t xml:space="preserve">— pending CR26 reconciliation and</w:t>
      </w:r>
      <w:r>
        <w:t xml:space="preserve"> </w:t>
      </w:r>
      <w:r>
        <w:t xml:space="preserve">independent SCA.</w:t>
      </w:r>
    </w:p>
    <w:bookmarkEnd w:id="48"/>
    <w:bookmarkStart w:id="49" w:name="series-completion-summary"/>
    <w:p>
      <w:pPr>
        <w:pStyle w:val="Heading2"/>
      </w:pPr>
      <w:r>
        <w:t xml:space="preserve">9.3 Series Completion Summary</w:t>
      </w:r>
    </w:p>
    <w:p>
      <w:pPr>
        <w:pStyle w:val="TableCaption"/>
      </w:pPr>
      <w:r>
        <w:t xml:space="preserve">Compliance Series — Volumes I–IV Control-Closure Summary as of This Book</w:t>
      </w:r>
    </w:p>
    <w:tbl>
      <w:tblPr>
        <w:tblStyle w:val="Table"/>
        <w:tblW w:type="pct" w:w="5000"/>
        <w:tblLayout w:type="fixed"/>
        <w:tblLook w:firstRow="1" w:lastRow="0" w:firstColumn="0" w:lastColumn="0" w:noHBand="0" w:noVBand="0" w:val="0020"/>
        <w:tblCaption w:val="Compliance Series — Volumes I–IV Control-Closure Summary as of This Book"/>
      </w:tblPr>
      <w:tblGrid>
        <w:gridCol w:w="1033"/>
        <w:gridCol w:w="1377"/>
        <w:gridCol w:w="2754"/>
        <w:gridCol w:w="2754"/>
      </w:tblGrid>
      <w:tr>
        <w:trPr>
          <w:tblHeader w:val="on"/>
        </w:trPr>
        <w:tc>
          <w:tcPr/>
          <w:p>
            <w:pPr>
              <w:pStyle w:val="Compact"/>
            </w:pPr>
            <w:r>
              <w:t xml:space="preserve">Book</w:t>
            </w:r>
          </w:p>
        </w:tc>
        <w:tc>
          <w:tcPr/>
          <w:p>
            <w:pPr>
              <w:pStyle w:val="Compact"/>
            </w:pPr>
            <w:r>
              <w:t xml:space="preserve">Domain</w:t>
            </w:r>
          </w:p>
        </w:tc>
        <w:tc>
          <w:tcPr/>
          <w:p>
            <w:pPr>
              <w:pStyle w:val="Compact"/>
            </w:pPr>
            <w:r>
              <w:t xml:space="preserve">Controls Closed</w:t>
            </w:r>
          </w:p>
        </w:tc>
        <w:tc>
          <w:tcPr/>
          <w:p>
            <w:pPr>
              <w:pStyle w:val="Compact"/>
            </w:pPr>
            <w:r>
              <w:t xml:space="preserve">KSIs Activated</w:t>
            </w:r>
          </w:p>
        </w:tc>
      </w:tr>
      <w:tr>
        <w:tc>
          <w:tcPr/>
          <w:p>
            <w:pPr>
              <w:pStyle w:val="Compact"/>
            </w:pPr>
            <w:r>
              <w:t xml:space="preserve">Vol I Book 01</w:t>
            </w:r>
          </w:p>
        </w:tc>
        <w:tc>
          <w:tcPr/>
          <w:p>
            <w:pPr>
              <w:pStyle w:val="Compact"/>
            </w:pPr>
            <w:r>
              <w:t xml:space="preserve">InfoBlox DDI Landing Zone</w:t>
            </w:r>
          </w:p>
        </w:tc>
        <w:tc>
          <w:tcPr/>
          <w:p>
            <w:pPr>
              <w:pStyle w:val="Compact"/>
            </w:pPr>
            <w:r>
              <w:t xml:space="preserve">16</w:t>
            </w:r>
          </w:p>
        </w:tc>
        <w:tc>
          <w:tcPr/>
          <w:p>
            <w:pPr>
              <w:pStyle w:val="Compact"/>
            </w:pPr>
            <w:r>
              <w:t xml:space="preserve">IAM, MLA, SVC (addressing)</w:t>
            </w:r>
          </w:p>
        </w:tc>
      </w:tr>
      <w:tr>
        <w:tc>
          <w:tcPr/>
          <w:p>
            <w:pPr>
              <w:pStyle w:val="Compact"/>
            </w:pPr>
            <w:r>
              <w:t xml:space="preserve">Vol I Book 06</w:t>
            </w:r>
          </w:p>
        </w:tc>
        <w:tc>
          <w:tcPr/>
          <w:p>
            <w:pPr>
              <w:pStyle w:val="Compact"/>
            </w:pPr>
            <w:r>
              <w:t xml:space="preserve">Telecommunications (SD-WAN/SASE)</w:t>
            </w:r>
          </w:p>
        </w:tc>
        <w:tc>
          <w:tcPr/>
          <w:p>
            <w:pPr>
              <w:pStyle w:val="Compact"/>
            </w:pPr>
            <w:r>
              <w:t xml:space="preserve">7</w:t>
            </w:r>
          </w:p>
        </w:tc>
        <w:tc>
          <w:tcPr/>
          <w:p>
            <w:pPr>
              <w:pStyle w:val="Compact"/>
            </w:pPr>
            <w:r>
              <w:t xml:space="preserve">SVC (boundary), MLA</w:t>
            </w:r>
          </w:p>
        </w:tc>
      </w:tr>
      <w:tr>
        <w:tc>
          <w:tcPr/>
          <w:p>
            <w:pPr>
              <w:pStyle w:val="Compact"/>
            </w:pPr>
            <w:r>
              <w:t xml:space="preserve">Vol I Book 05</w:t>
            </w:r>
          </w:p>
        </w:tc>
        <w:tc>
          <w:tcPr/>
          <w:p>
            <w:pPr>
              <w:pStyle w:val="Compact"/>
            </w:pPr>
            <w:r>
              <w:t xml:space="preserve">Network and Identity Modernization</w:t>
            </w:r>
          </w:p>
        </w:tc>
        <w:tc>
          <w:tcPr/>
          <w:p>
            <w:pPr>
              <w:pStyle w:val="Compact"/>
            </w:pPr>
            <w:r>
              <w:t xml:space="preserve">12</w:t>
            </w:r>
          </w:p>
        </w:tc>
        <w:tc>
          <w:tcPr/>
          <w:p>
            <w:pPr>
              <w:pStyle w:val="Compact"/>
            </w:pPr>
            <w:r>
              <w:t xml:space="preserve">IAM, SVC (network)</w:t>
            </w:r>
          </w:p>
        </w:tc>
      </w:tr>
      <w:tr>
        <w:tc>
          <w:tcPr/>
          <w:p>
            <w:pPr>
              <w:pStyle w:val="Compact"/>
            </w:pPr>
            <w:r>
              <w:t xml:space="preserve">Vol II Books 01–02</w:t>
            </w:r>
          </w:p>
        </w:tc>
        <w:tc>
          <w:tcPr/>
          <w:p>
            <w:pPr>
              <w:pStyle w:val="Compact"/>
            </w:pPr>
            <w:r>
              <w:t xml:space="preserve">SQL Server Authentication</w:t>
            </w:r>
          </w:p>
        </w:tc>
        <w:tc>
          <w:tcPr/>
          <w:p>
            <w:pPr>
              <w:pStyle w:val="Compact"/>
            </w:pPr>
            <w:r>
              <w:t xml:space="preserve">auth surface</w:t>
            </w:r>
          </w:p>
        </w:tc>
        <w:tc>
          <w:tcPr/>
          <w:p>
            <w:pPr>
              <w:pStyle w:val="Compact"/>
            </w:pPr>
            <w:r>
              <w:t xml:space="preserve">IAM (SQL tier)</w:t>
            </w:r>
          </w:p>
        </w:tc>
      </w:tr>
      <w:tr>
        <w:tc>
          <w:tcPr/>
          <w:p>
            <w:pPr>
              <w:pStyle w:val="Compact"/>
            </w:pPr>
            <w:r>
              <w:t xml:space="preserve">Vol II Book 03</w:t>
            </w:r>
          </w:p>
        </w:tc>
        <w:tc>
          <w:tcPr/>
          <w:p>
            <w:pPr>
              <w:pStyle w:val="Compact"/>
            </w:pPr>
            <w:r>
              <w:t xml:space="preserve">Database Architecture and Network Physics</w:t>
            </w:r>
          </w:p>
        </w:tc>
        <w:tc>
          <w:tcPr/>
          <w:p>
            <w:pPr>
              <w:pStyle w:val="Compact"/>
            </w:pPr>
            <w:r>
              <w:t xml:space="preserve">7</w:t>
            </w:r>
          </w:p>
        </w:tc>
        <w:tc>
          <w:tcPr/>
          <w:p>
            <w:pPr>
              <w:pStyle w:val="Compact"/>
            </w:pPr>
            <w:r>
              <w:t xml:space="preserve">SVC (data)</w:t>
            </w:r>
          </w:p>
        </w:tc>
      </w:tr>
      <w:tr>
        <w:tc>
          <w:tcPr/>
          <w:p>
            <w:pPr>
              <w:pStyle w:val="Compact"/>
            </w:pPr>
            <w:r>
              <w:t xml:space="preserve">Vol III Book 01</w:t>
            </w:r>
          </w:p>
        </w:tc>
        <w:tc>
          <w:tcPr/>
          <w:p>
            <w:pPr>
              <w:pStyle w:val="Compact"/>
            </w:pPr>
            <w:r>
              <w:t xml:space="preserve">Privileged Access Management</w:t>
            </w:r>
          </w:p>
        </w:tc>
        <w:tc>
          <w:tcPr/>
          <w:p>
            <w:pPr>
              <w:pStyle w:val="Compact"/>
            </w:pPr>
            <w:r>
              <w:t xml:space="preserve">AC-5/6/11/12, IA-11</w:t>
            </w:r>
          </w:p>
        </w:tc>
        <w:tc>
          <w:tcPr/>
          <w:p>
            <w:pPr>
              <w:pStyle w:val="Compact"/>
            </w:pPr>
            <w:r>
              <w:t xml:space="preserve">IAM-ELP</w:t>
            </w:r>
          </w:p>
        </w:tc>
      </w:tr>
      <w:tr>
        <w:tc>
          <w:tcPr/>
          <w:p>
            <w:pPr>
              <w:pStyle w:val="Compact"/>
            </w:pPr>
            <w:r>
              <w:t xml:space="preserve">Vol III Book 02</w:t>
            </w:r>
          </w:p>
        </w:tc>
        <w:tc>
          <w:tcPr/>
          <w:p>
            <w:pPr>
              <w:pStyle w:val="Compact"/>
            </w:pPr>
            <w:r>
              <w:t xml:space="preserve">Vulnerability Management</w:t>
            </w:r>
          </w:p>
        </w:tc>
        <w:tc>
          <w:tcPr/>
          <w:p>
            <w:pPr>
              <w:pStyle w:val="Compact"/>
            </w:pPr>
            <w:r>
              <w:t xml:space="preserve">RA-5, SI-2, CM-7</w:t>
            </w:r>
          </w:p>
        </w:tc>
        <w:tc>
          <w:tcPr/>
          <w:p>
            <w:pPr>
              <w:pStyle w:val="Compact"/>
            </w:pPr>
            <w:r>
              <w:t xml:space="preserve">MLA-ALA, SVC</w:t>
            </w:r>
          </w:p>
        </w:tc>
      </w:tr>
      <w:tr>
        <w:tc>
          <w:tcPr/>
          <w:p>
            <w:pPr>
              <w:pStyle w:val="Compact"/>
            </w:pPr>
            <w:r>
              <w:t xml:space="preserve">Vol III Book 05</w:t>
            </w:r>
          </w:p>
        </w:tc>
        <w:tc>
          <w:tcPr/>
          <w:p>
            <w:pPr>
              <w:pStyle w:val="Compact"/>
            </w:pPr>
            <w:r>
              <w:t xml:space="preserve">Data Protection and Purview</w:t>
            </w:r>
          </w:p>
        </w:tc>
        <w:tc>
          <w:tcPr/>
          <w:p>
            <w:pPr>
              <w:pStyle w:val="Compact"/>
            </w:pPr>
            <w:r>
              <w:t xml:space="preserve">MP, SC-12/13/28</w:t>
            </w:r>
          </w:p>
        </w:tc>
        <w:tc>
          <w:tcPr/>
          <w:p>
            <w:pPr>
              <w:pStyle w:val="Compact"/>
            </w:pPr>
            <w:r>
              <w:t xml:space="preserve">SVC (data protection)</w:t>
            </w:r>
          </w:p>
        </w:tc>
      </w:tr>
      <w:tr>
        <w:tc>
          <w:tcPr/>
          <w:p>
            <w:pPr>
              <w:pStyle w:val="Compact"/>
            </w:pPr>
            <w:r>
              <w:t xml:space="preserve">Vol III Book 06</w:t>
            </w:r>
          </w:p>
        </w:tc>
        <w:tc>
          <w:tcPr/>
          <w:p>
            <w:pPr>
              <w:pStyle w:val="Compact"/>
            </w:pPr>
            <w:r>
              <w:t xml:space="preserve">SIEM / XDR / Detection Engineering</w:t>
            </w:r>
          </w:p>
        </w:tc>
        <w:tc>
          <w:tcPr/>
          <w:p>
            <w:pPr>
              <w:pStyle w:val="Compact"/>
            </w:pPr>
            <w:r>
              <w:t xml:space="preserve">AU-6/7/8, SI-4, IR-4/6/8</w:t>
            </w:r>
          </w:p>
        </w:tc>
        <w:tc>
          <w:tcPr/>
          <w:p>
            <w:pPr>
              <w:pStyle w:val="Compact"/>
            </w:pPr>
            <w:r>
              <w:t xml:space="preserve">MLA (primary)</w:t>
            </w:r>
          </w:p>
        </w:tc>
      </w:tr>
      <w:tr>
        <w:tc>
          <w:tcPr/>
          <w:p>
            <w:pPr>
              <w:pStyle w:val="Compact"/>
            </w:pPr>
            <w:r>
              <w:t xml:space="preserve">Vol IV Book 01</w:t>
            </w:r>
          </w:p>
        </w:tc>
        <w:tc>
          <w:tcPr/>
          <w:p>
            <w:pPr>
              <w:pStyle w:val="Compact"/>
            </w:pPr>
            <w:r>
              <w:t xml:space="preserve">Business Continuity</w:t>
            </w:r>
          </w:p>
        </w:tc>
        <w:tc>
          <w:tcPr/>
          <w:p>
            <w:pPr>
              <w:pStyle w:val="Compact"/>
            </w:pPr>
            <w:r>
              <w:t xml:space="preserve">CP-2 through CP-10</w:t>
            </w:r>
          </w:p>
        </w:tc>
        <w:tc>
          <w:tcPr/>
          <w:p>
            <w:pPr>
              <w:pStyle w:val="Compact"/>
            </w:pPr>
            <w:r>
              <w:t xml:space="preserve">RPL</w:t>
            </w:r>
          </w:p>
        </w:tc>
      </w:tr>
      <w:tr>
        <w:tc>
          <w:tcPr/>
          <w:p>
            <w:pPr>
              <w:pStyle w:val="Compact"/>
            </w:pPr>
            <w:r>
              <w:t xml:space="preserve">Vol IV Book 02</w:t>
            </w:r>
          </w:p>
        </w:tc>
        <w:tc>
          <w:tcPr/>
          <w:p>
            <w:pPr>
              <w:pStyle w:val="Compact"/>
            </w:pPr>
            <w:r>
              <w:t xml:space="preserve">Supply Chain Risk Management</w:t>
            </w:r>
          </w:p>
        </w:tc>
        <w:tc>
          <w:tcPr/>
          <w:p>
            <w:pPr>
              <w:pStyle w:val="Compact"/>
            </w:pPr>
            <w:r>
              <w:t xml:space="preserve">SR-1 through SR-11</w:t>
            </w:r>
          </w:p>
        </w:tc>
        <w:tc>
          <w:tcPr/>
          <w:p>
            <w:pPr>
              <w:pStyle w:val="Compact"/>
            </w:pPr>
            <w:r>
              <w:t xml:space="preserve">SCR-MIT, SCR-MON</w:t>
            </w:r>
          </w:p>
        </w:tc>
      </w:tr>
      <w:tr>
        <w:tc>
          <w:tcPr/>
          <w:p>
            <w:pPr>
              <w:pStyle w:val="Compact"/>
            </w:pPr>
            <w:r>
              <w:t xml:space="preserve">Vol IV Book 03</w:t>
            </w:r>
          </w:p>
        </w:tc>
        <w:tc>
          <w:tcPr/>
          <w:p>
            <w:pPr>
              <w:pStyle w:val="Compact"/>
            </w:pPr>
            <w:r>
              <w:t xml:space="preserve">Program Management and Governance</w:t>
            </w:r>
          </w:p>
        </w:tc>
        <w:tc>
          <w:tcPr/>
          <w:p>
            <w:pPr>
              <w:pStyle w:val="Compact"/>
            </w:pPr>
            <w:r>
              <w:t xml:space="preserve">PM-1/2/5/7/9/11/14/15/30</w:t>
            </w:r>
          </w:p>
        </w:tc>
        <w:tc>
          <w:tcPr/>
          <w:p>
            <w:pPr>
              <w:pStyle w:val="Compact"/>
            </w:pPr>
            <w:r>
              <w:t xml:space="preserve">SCR (governance)</w:t>
            </w:r>
          </w:p>
        </w:tc>
      </w:tr>
      <w:tr>
        <w:tc>
          <w:tcPr/>
          <w:p>
            <w:pPr>
              <w:pStyle w:val="Compact"/>
            </w:pPr>
            <w:r>
              <w:t xml:space="preserve">Vol IV Book 04</w:t>
            </w:r>
          </w:p>
        </w:tc>
        <w:tc>
          <w:tcPr/>
          <w:p>
            <w:pPr>
              <w:pStyle w:val="Compact"/>
            </w:pPr>
            <w:r>
              <w:t xml:space="preserve">PII Processing and Transparency</w:t>
            </w:r>
          </w:p>
        </w:tc>
        <w:tc>
          <w:tcPr/>
          <w:p>
            <w:pPr>
              <w:pStyle w:val="Compact"/>
            </w:pPr>
            <w:r>
              <w:t xml:space="preserve">PT-1 through PT-7</w:t>
            </w:r>
          </w:p>
        </w:tc>
        <w:tc>
          <w:tcPr/>
          <w:p>
            <w:pPr>
              <w:pStyle w:val="Compact"/>
            </w:pPr>
            <w:r>
              <w:t xml:space="preserve">PIY-RSD</w:t>
            </w:r>
          </w:p>
        </w:tc>
      </w:tr>
      <w:tr>
        <w:tc>
          <w:tcPr/>
          <w:p>
            <w:pPr>
              <w:pStyle w:val="Compact"/>
            </w:pPr>
            <w:r>
              <w:t xml:space="preserve">Vol IV Book 05</w:t>
            </w:r>
          </w:p>
        </w:tc>
        <w:tc>
          <w:tcPr/>
          <w:p>
            <w:pPr>
              <w:pStyle w:val="Compact"/>
            </w:pPr>
            <w:r>
              <w:t xml:space="preserve">Cybersecurity Training and Awareness</w:t>
            </w:r>
          </w:p>
        </w:tc>
        <w:tc>
          <w:tcPr/>
          <w:p>
            <w:pPr>
              <w:pStyle w:val="Compact"/>
            </w:pPr>
            <w:r>
              <w:t xml:space="preserve">AT-2/3/4, CP-3, IR-2</w:t>
            </w:r>
          </w:p>
        </w:tc>
        <w:tc>
          <w:tcPr/>
          <w:p>
            <w:pPr>
              <w:pStyle w:val="Compact"/>
            </w:pPr>
            <w:r>
              <w:rPr>
                <w:b/>
                <w:bCs/>
              </w:rPr>
              <w:t xml:space="preserve">CED-RAT</w:t>
            </w:r>
          </w:p>
        </w:tc>
      </w:tr>
    </w:tbl>
    <w:p>
      <w:r>
        <w:pict>
          <v:rect style="width:0;height:1.5pt" o:hralign="center" o:hrstd="t" o:hr="t"/>
        </w:pict>
      </w:r>
    </w:p>
    <w:bookmarkEnd w:id="49"/>
    <w:bookmarkEnd w:id="50"/>
    <w:bookmarkStart w:id="55" w:name="implementation-checklist"/>
    <w:p>
      <w:pPr>
        <w:pStyle w:val="Heading1"/>
      </w:pPr>
      <w:r>
        <w:t xml:space="preserve">10. Implementation Checklist</w:t>
      </w:r>
    </w:p>
    <w:bookmarkStart w:id="51" w:name="phase-1-program-setup-weeks-14"/>
    <w:p>
      <w:pPr>
        <w:pStyle w:val="Heading2"/>
      </w:pPr>
      <w:r>
        <w:t xml:space="preserve">10.1 Phase 1 — Program Setup (Weeks 1–4)</w:t>
      </w:r>
    </w:p>
    <w:p>
      <w:pPr>
        <w:pStyle w:val="Compact"/>
        <w:numPr>
          <w:ilvl w:val="0"/>
          <w:numId w:val="1011"/>
        </w:numPr>
      </w:pPr>
      <w:r>
        <w:t xml:space="preserve">Designate training program owner (ISSO or delegate)</w:t>
      </w:r>
    </w:p>
    <w:p>
      <w:pPr>
        <w:pStyle w:val="Compact"/>
        <w:numPr>
          <w:ilvl w:val="0"/>
          <w:numId w:val="1012"/>
        </w:numPr>
      </w:pPr>
      <w:r>
        <w:t xml:space="preserve">Select LMS platform (Viva Learning recommended for M365 GCC E3/E5)</w:t>
      </w:r>
    </w:p>
    <w:p>
      <w:pPr>
        <w:pStyle w:val="Compact"/>
        <w:numPr>
          <w:ilvl w:val="0"/>
          <w:numId w:val="1013"/>
        </w:numPr>
      </w:pPr>
      <w:r>
        <w:t xml:space="preserve">Define role tier assignments — map all users to Tier 1–6</w:t>
      </w:r>
    </w:p>
    <w:p>
      <w:pPr>
        <w:pStyle w:val="Compact"/>
        <w:numPr>
          <w:ilvl w:val="0"/>
          <w:numId w:val="1014"/>
        </w:numPr>
      </w:pPr>
      <w:r>
        <w:t xml:space="preserve">Configure Graph API export with</w:t>
      </w:r>
      <w:r>
        <w:t xml:space="preserve"> </w:t>
      </w:r>
      <w:r>
        <w:rPr>
          <w:rStyle w:val="VerbatimChar"/>
        </w:rPr>
        <w:t xml:space="preserve">LearningAssignmentReport.Read.All</w:t>
      </w:r>
    </w:p>
    <w:p>
      <w:pPr>
        <w:pStyle w:val="Compact"/>
        <w:numPr>
          <w:ilvl w:val="0"/>
          <w:numId w:val="1015"/>
        </w:numPr>
      </w:pPr>
      <w:r>
        <w:t xml:space="preserve">Create course library in Viva Learning (or import CISA/DoD content)</w:t>
      </w:r>
    </w:p>
    <w:p>
      <w:pPr>
        <w:pStyle w:val="Compact"/>
        <w:numPr>
          <w:ilvl w:val="0"/>
          <w:numId w:val="1016"/>
        </w:numPr>
      </w:pPr>
      <w:r>
        <w:t xml:space="preserve">Enroll all employees in AT-2 general awareness track</w:t>
      </w:r>
    </w:p>
    <w:bookmarkEnd w:id="51"/>
    <w:bookmarkStart w:id="52" w:name="phase-2-content-and-delivery-weeks-512"/>
    <w:p>
      <w:pPr>
        <w:pStyle w:val="Heading2"/>
      </w:pPr>
      <w:r>
        <w:t xml:space="preserve">10.2 Phase 2 — Content and Delivery (Weeks 5–12)</w:t>
      </w:r>
    </w:p>
    <w:p>
      <w:pPr>
        <w:pStyle w:val="Compact"/>
        <w:numPr>
          <w:ilvl w:val="0"/>
          <w:numId w:val="1017"/>
        </w:numPr>
      </w:pPr>
      <w:r>
        <w:t xml:space="preserve">Launch AT-2 general awareness campaign (all employees)</w:t>
      </w:r>
    </w:p>
    <w:p>
      <w:pPr>
        <w:pStyle w:val="Compact"/>
        <w:numPr>
          <w:ilvl w:val="0"/>
          <w:numId w:val="1018"/>
        </w:numPr>
      </w:pPr>
      <w:r>
        <w:t xml:space="preserve">Launch AT-3 Tier 1 (sysadmin) and Tier 3 (developer) tracks — highest priority</w:t>
      </w:r>
    </w:p>
    <w:p>
      <w:pPr>
        <w:pStyle w:val="Compact"/>
        <w:numPr>
          <w:ilvl w:val="0"/>
          <w:numId w:val="1019"/>
        </w:numPr>
      </w:pPr>
      <w:r>
        <w:t xml:space="preserve">Configure phishing simulation platform (Attack Simulator or KnowBe4)</w:t>
      </w:r>
    </w:p>
    <w:p>
      <w:pPr>
        <w:pStyle w:val="Compact"/>
        <w:numPr>
          <w:ilvl w:val="0"/>
          <w:numId w:val="1020"/>
        </w:numPr>
      </w:pPr>
      <w:r>
        <w:t xml:space="preserve">Run first phishing simulation campaign</w:t>
      </w:r>
    </w:p>
    <w:p>
      <w:pPr>
        <w:pStyle w:val="Compact"/>
        <w:numPr>
          <w:ilvl w:val="0"/>
          <w:numId w:val="1021"/>
        </w:numPr>
      </w:pPr>
      <w:r>
        <w:t xml:space="preserve">Deliver first Tier 3 SBOM/Grype hands-on lab</w:t>
      </w:r>
    </w:p>
    <w:p>
      <w:pPr>
        <w:pStyle w:val="Compact"/>
        <w:numPr>
          <w:ilvl w:val="0"/>
          <w:numId w:val="1022"/>
        </w:numPr>
      </w:pPr>
      <w:r>
        <w:t xml:space="preserve">Schedule IR drill with SOC team</w:t>
      </w:r>
    </w:p>
    <w:bookmarkEnd w:id="52"/>
    <w:bookmarkStart w:id="53" w:name="phase-3-evidence-integration-weeks-1316"/>
    <w:p>
      <w:pPr>
        <w:pStyle w:val="Heading2"/>
      </w:pPr>
      <w:r>
        <w:t xml:space="preserve">10.3 Phase 3 — Evidence Integration (Weeks 13–16)</w:t>
      </w:r>
    </w:p>
    <w:p>
      <w:pPr>
        <w:pStyle w:val="Compact"/>
        <w:numPr>
          <w:ilvl w:val="0"/>
          <w:numId w:val="1023"/>
        </w:numPr>
      </w:pPr>
      <w:r>
        <w:t xml:space="preserve">Deploy Logic App / Automation Runbook for monthly LMS export</w:t>
      </w:r>
    </w:p>
    <w:p>
      <w:pPr>
        <w:pStyle w:val="Compact"/>
        <w:numPr>
          <w:ilvl w:val="0"/>
          <w:numId w:val="1024"/>
        </w:numPr>
      </w:pPr>
      <w:r>
        <w:t xml:space="preserve">Map Graph API output to</w:t>
      </w:r>
      <w:r>
        <w:t xml:space="preserve"> </w:t>
      </w:r>
      <w:r>
        <w:rPr>
          <w:rStyle w:val="VerbatimChar"/>
        </w:rPr>
        <w:t xml:space="preserve">training-effectiveness-record</w:t>
      </w:r>
      <w:r>
        <w:t xml:space="preserve"> </w:t>
      </w:r>
      <w:r>
        <w:t xml:space="preserve">JSON schema</w:t>
      </w:r>
    </w:p>
    <w:p>
      <w:pPr>
        <w:pStyle w:val="Compact"/>
        <w:numPr>
          <w:ilvl w:val="0"/>
          <w:numId w:val="1025"/>
        </w:numPr>
      </w:pPr>
      <w:r>
        <w:t xml:space="preserve">Integrate export into governance substrate</w:t>
      </w:r>
    </w:p>
    <w:p>
      <w:pPr>
        <w:pStyle w:val="Compact"/>
        <w:numPr>
          <w:ilvl w:val="0"/>
          <w:numId w:val="1026"/>
        </w:numPr>
      </w:pPr>
      <w:r>
        <w:t xml:space="preserve">Validate KSI-022 query returns PASS on first ingested record</w:t>
      </w:r>
    </w:p>
    <w:p>
      <w:pPr>
        <w:pStyle w:val="Compact"/>
        <w:numPr>
          <w:ilvl w:val="0"/>
          <w:numId w:val="1027"/>
        </w:numPr>
      </w:pPr>
      <w:r>
        <w:t xml:space="preserve">Archive first tabletop after-action report in governance record store</w:t>
      </w:r>
    </w:p>
    <w:bookmarkEnd w:id="53"/>
    <w:bookmarkStart w:id="54" w:name="phase-4-steady-state-ongoing"/>
    <w:p>
      <w:pPr>
        <w:pStyle w:val="Heading2"/>
      </w:pPr>
      <w:r>
        <w:t xml:space="preserve">10.4 Phase 4 — Steady State (Ongoing)</w:t>
      </w:r>
    </w:p>
    <w:p>
      <w:pPr>
        <w:pStyle w:val="Compact"/>
        <w:numPr>
          <w:ilvl w:val="0"/>
          <w:numId w:val="1028"/>
        </w:numPr>
      </w:pPr>
      <w:r>
        <w:t xml:space="preserve">Monthly LMS export running and ingesting automatically</w:t>
      </w:r>
    </w:p>
    <w:p>
      <w:pPr>
        <w:pStyle w:val="Compact"/>
        <w:numPr>
          <w:ilvl w:val="0"/>
          <w:numId w:val="1029"/>
        </w:numPr>
      </w:pPr>
      <w:r>
        <w:t xml:space="preserve">Quarterly phishing simulation campaigns on calendar</w:t>
      </w:r>
    </w:p>
    <w:p>
      <w:pPr>
        <w:pStyle w:val="Compact"/>
        <w:numPr>
          <w:ilvl w:val="0"/>
          <w:numId w:val="1030"/>
        </w:numPr>
      </w:pPr>
      <w:r>
        <w:t xml:space="preserve">Semi-annual IR drill scheduled for H1 and H2</w:t>
      </w:r>
    </w:p>
    <w:p>
      <w:pPr>
        <w:pStyle w:val="Compact"/>
        <w:numPr>
          <w:ilvl w:val="0"/>
          <w:numId w:val="1031"/>
        </w:numPr>
      </w:pPr>
      <w:r>
        <w:t xml:space="preserve">Annual tabletop calendar set (Q1–Q4 per CP-3 schedule)</w:t>
      </w:r>
    </w:p>
    <w:p>
      <w:pPr>
        <w:pStyle w:val="Compact"/>
        <w:numPr>
          <w:ilvl w:val="0"/>
          <w:numId w:val="1032"/>
        </w:numPr>
      </w:pPr>
      <w:r>
        <w:t xml:space="preserve">ISSO reviews training-effectiveness-record quarterly dashboard</w:t>
      </w:r>
    </w:p>
    <w:p>
      <w:pPr>
        <w:pStyle w:val="Compact"/>
        <w:numPr>
          <w:ilvl w:val="0"/>
          <w:numId w:val="1033"/>
        </w:numPr>
      </w:pPr>
      <w:r>
        <w:t xml:space="preserve">Annual AT-2 content refresh cycle (update for emerging threats)</w:t>
      </w:r>
    </w:p>
    <w:p>
      <w:r>
        <w:pict>
          <v:rect style="width:0;height:1.5pt" o:hralign="center" o:hrstd="t" o:hr="t"/>
        </w:pict>
      </w:r>
    </w:p>
    <w:bookmarkEnd w:id="54"/>
    <w:bookmarkEnd w:id="55"/>
    <w:bookmarkStart w:id="56" w:name="document-references"/>
    <w:p>
      <w:pPr>
        <w:pStyle w:val="Heading1"/>
      </w:pPr>
      <w:r>
        <w:t xml:space="preserve">11. Document References</w:t>
      </w:r>
    </w:p>
    <w:tbl>
      <w:tblPr>
        <w:tblStyle w:val="Table"/>
        <w:tblW w:type="pct" w:w="5000"/>
        <w:tblLayout w:type="fixed"/>
        <w:tblLook w:firstRow="1" w:lastRow="0" w:firstColumn="0" w:lastColumn="0" w:noHBand="0" w:noVBand="0" w:val="0020"/>
      </w:tblPr>
      <w:tblGrid>
        <w:gridCol w:w="3443"/>
        <w:gridCol w:w="4476"/>
      </w:tblGrid>
      <w:tr>
        <w:trPr>
          <w:tblHeader w:val="on"/>
        </w:trPr>
        <w:tc>
          <w:tcPr/>
          <w:p>
            <w:pPr>
              <w:pStyle w:val="Compact"/>
            </w:pPr>
            <w:r>
              <w:t xml:space="preserve">Document</w:t>
            </w:r>
          </w:p>
        </w:tc>
        <w:tc>
          <w:tcPr/>
          <w:p>
            <w:pPr>
              <w:pStyle w:val="Compact"/>
            </w:pPr>
            <w:r>
              <w:t xml:space="preserve">Description</w:t>
            </w:r>
          </w:p>
        </w:tc>
      </w:tr>
      <w:tr>
        <w:tc>
          <w:tcPr/>
          <w:p>
            <w:pPr>
              <w:pStyle w:val="Compact"/>
            </w:pPr>
            <w:r>
              <w:t xml:space="preserve">Compliance — Agency Landing Zone IPAM / FedRAMP</w:t>
            </w:r>
          </w:p>
        </w:tc>
        <w:tc>
          <w:tcPr/>
          <w:p>
            <w:pPr>
              <w:pStyle w:val="Compact"/>
            </w:pPr>
            <w:r>
              <w:t xml:space="preserve">Vol I Book 01: InfoBlox DDI, four-environment landing zone, NIST control mapping, FedRAMP 20x KSI evidence</w:t>
            </w:r>
          </w:p>
        </w:tc>
      </w:tr>
      <w:tr>
        <w:tc>
          <w:tcPr/>
          <w:p>
            <w:pPr>
              <w:pStyle w:val="Compact"/>
            </w:pPr>
            <w:r>
              <w:t xml:space="preserve">Compliance — Federal Telecommunications Modernization</w:t>
            </w:r>
          </w:p>
        </w:tc>
        <w:tc>
          <w:tcPr/>
          <w:p>
            <w:pPr>
              <w:pStyle w:val="Compact"/>
            </w:pPr>
            <w:r>
              <w:t xml:space="preserve">Vol I Book 06: Amazon Connect, Teams Phone, SD-WAN/SASE, G.114 compliance</w:t>
            </w:r>
          </w:p>
        </w:tc>
      </w:tr>
      <w:tr>
        <w:tc>
          <w:tcPr/>
          <w:p>
            <w:pPr>
              <w:pStyle w:val="Compact"/>
            </w:pPr>
            <w:r>
              <w:t xml:space="preserve">Compliance — Network Modernization</w:t>
            </w:r>
          </w:p>
        </w:tc>
        <w:tc>
          <w:tcPr/>
          <w:p>
            <w:pPr>
              <w:pStyle w:val="Compact"/>
            </w:pPr>
            <w:r>
              <w:t xml:space="preserve">Vol I Book 05: AD-to-Entra migration, ZTNA, Drift Reconciliation, FedRAMP 20x alignment</w:t>
            </w:r>
          </w:p>
        </w:tc>
      </w:tr>
      <w:tr>
        <w:tc>
          <w:tcPr/>
          <w:p>
            <w:pPr>
              <w:pStyle w:val="Compact"/>
            </w:pPr>
            <w:r>
              <w:t xml:space="preserve">Compliance — SQL Server Authentication Modernization</w:t>
            </w:r>
          </w:p>
        </w:tc>
        <w:tc>
          <w:tcPr/>
          <w:p>
            <w:pPr>
              <w:pStyle w:val="Compact"/>
            </w:pPr>
            <w:r>
              <w:t xml:space="preserve">Vol II Book 01: Arc Managed Identity, Kerberos/NTLM elimination, login migration</w:t>
            </w:r>
          </w:p>
        </w:tc>
      </w:tr>
      <w:tr>
        <w:tc>
          <w:tcPr/>
          <w:p>
            <w:pPr>
              <w:pStyle w:val="Compact"/>
            </w:pPr>
            <w:r>
              <w:t xml:space="preserve">Compliance — SQL Server Implementation Guide</w:t>
            </w:r>
          </w:p>
        </w:tc>
        <w:tc>
          <w:tcPr/>
          <w:p>
            <w:pPr>
              <w:pStyle w:val="Compact"/>
            </w:pPr>
            <w:r>
              <w:t xml:space="preserve">Vol II Book 02: 10-book runbook — estate discovery, Arc deployment, monitoring</w:t>
            </w:r>
          </w:p>
        </w:tc>
      </w:tr>
      <w:tr>
        <w:tc>
          <w:tcPr/>
          <w:p>
            <w:pPr>
              <w:pStyle w:val="Compact"/>
            </w:pPr>
            <w:r>
              <w:t xml:space="preserve">Compliance — Database Consolidation and Network Physics</w:t>
            </w:r>
          </w:p>
        </w:tc>
        <w:tc>
          <w:tcPr/>
          <w:p>
            <w:pPr>
              <w:pStyle w:val="Compact"/>
            </w:pPr>
            <w:r>
              <w:t xml:space="preserve">Vol II Book 03: SSOT architecture, speed-of-light floor, SD-WAN for database traffic</w:t>
            </w:r>
          </w:p>
        </w:tc>
      </w:tr>
      <w:tr>
        <w:tc>
          <w:tcPr/>
          <w:p>
            <w:pPr>
              <w:pStyle w:val="Compact"/>
            </w:pPr>
            <w:r>
              <w:t xml:space="preserve">Compliance — Privileged Access Management</w:t>
            </w:r>
          </w:p>
        </w:tc>
        <w:tc>
          <w:tcPr/>
          <w:p>
            <w:pPr>
              <w:pStyle w:val="Compact"/>
            </w:pPr>
            <w:r>
              <w:t xml:space="preserve">Vol III Book 01: Entra PIM JIT, PAW architecture, AC-6 least privilege</w:t>
            </w:r>
          </w:p>
        </w:tc>
      </w:tr>
      <w:tr>
        <w:tc>
          <w:tcPr/>
          <w:p>
            <w:pPr>
              <w:pStyle w:val="Compact"/>
            </w:pPr>
            <w:r>
              <w:t xml:space="preserve">Compliance — Vulnerability Management</w:t>
            </w:r>
          </w:p>
        </w:tc>
        <w:tc>
          <w:tcPr/>
          <w:p>
            <w:pPr>
              <w:pStyle w:val="Compact"/>
            </w:pPr>
            <w:r>
              <w:t xml:space="preserve">Vol III Book 02: Defender MDVM, CISA KEV, BOD 26-04 SLAs, RA-5 continuous scanning</w:t>
            </w:r>
          </w:p>
        </w:tc>
      </w:tr>
      <w:tr>
        <w:tc>
          <w:tcPr/>
          <w:p>
            <w:pPr>
              <w:pStyle w:val="Compact"/>
            </w:pPr>
            <w:r>
              <w:t xml:space="preserve">Compliance — Data Protection and Purview</w:t>
            </w:r>
          </w:p>
        </w:tc>
        <w:tc>
          <w:tcPr/>
          <w:p>
            <w:pPr>
              <w:pStyle w:val="Compact"/>
            </w:pPr>
            <w:r>
              <w:t xml:space="preserve">Vol III Book 05: Purview DLP, sensitivity labels, Key Vault CMK</w:t>
            </w:r>
          </w:p>
        </w:tc>
      </w:tr>
      <w:tr>
        <w:tc>
          <w:tcPr/>
          <w:p>
            <w:pPr>
              <w:pStyle w:val="Compact"/>
            </w:pPr>
            <w:r>
              <w:t xml:space="preserve">Compliance — SIEM / XDR / Detection Engineering</w:t>
            </w:r>
          </w:p>
        </w:tc>
        <w:tc>
          <w:tcPr/>
          <w:p>
            <w:pPr>
              <w:pStyle w:val="Compact"/>
            </w:pPr>
            <w:r>
              <w:t xml:space="preserve">Vol III Book 06: Sentinel connectors, KQL analytics, UEBA, Logic App playbooks</w:t>
            </w:r>
          </w:p>
        </w:tc>
      </w:tr>
      <w:tr>
        <w:tc>
          <w:tcPr/>
          <w:p>
            <w:pPr>
              <w:pStyle w:val="Compact"/>
            </w:pPr>
            <w:r>
              <w:t xml:space="preserve">Compliance — Business Continuity</w:t>
            </w:r>
          </w:p>
        </w:tc>
        <w:tc>
          <w:tcPr/>
          <w:p>
            <w:pPr>
              <w:pStyle w:val="Compact"/>
            </w:pPr>
            <w:r>
              <w:t xml:space="preserve">Vol IV Book 01: CP-2 Contingency Plan, BIA, SQL AG and DDI DR integration</w:t>
            </w:r>
          </w:p>
        </w:tc>
      </w:tr>
      <w:tr>
        <w:tc>
          <w:tcPr/>
          <w:p>
            <w:pPr>
              <w:pStyle w:val="Compact"/>
            </w:pPr>
            <w:r>
              <w:t xml:space="preserve">Compliance — Supply Chain Risk Management</w:t>
            </w:r>
          </w:p>
        </w:tc>
        <w:tc>
          <w:tcPr/>
          <w:p>
            <w:pPr>
              <w:pStyle w:val="Compact"/>
            </w:pPr>
            <w:r>
              <w:t xml:space="preserve">Vol IV Book 02: Syft SBOM, Grype VDR, OpenVEX, GitHub Actions pipeline</w:t>
            </w:r>
          </w:p>
        </w:tc>
      </w:tr>
      <w:tr>
        <w:tc>
          <w:tcPr/>
          <w:p>
            <w:pPr>
              <w:pStyle w:val="Compact"/>
            </w:pPr>
            <w:r>
              <w:t xml:space="preserve">Compliance — Program Management and Governance</w:t>
            </w:r>
          </w:p>
        </w:tc>
        <w:tc>
          <w:tcPr/>
          <w:p>
            <w:pPr>
              <w:pStyle w:val="Compact"/>
            </w:pPr>
            <w:r>
              <w:t xml:space="preserve">Vol IV Book 03: ISPP, POA&amp;M, SCRM Charter, PM-30 closure</w:t>
            </w:r>
          </w:p>
        </w:tc>
      </w:tr>
      <w:tr>
        <w:tc>
          <w:tcPr/>
          <w:p>
            <w:pPr>
              <w:pStyle w:val="Compact"/>
            </w:pPr>
            <w:r>
              <w:t xml:space="preserve">Compliance — PII Processing and Transparency</w:t>
            </w:r>
          </w:p>
        </w:tc>
        <w:tc>
          <w:tcPr/>
          <w:p>
            <w:pPr>
              <w:pStyle w:val="Compact"/>
            </w:pPr>
            <w:r>
              <w:t xml:space="preserve">Vol IV Book 04: PT family templates, Privacy Program Plan, Purview Data Map</w:t>
            </w:r>
          </w:p>
        </w:tc>
      </w:tr>
      <w:tr>
        <w:tc>
          <w:tcPr/>
          <w:p>
            <w:pPr>
              <w:pStyle w:val="Compact"/>
            </w:pPr>
            <w:r>
              <w:t xml:space="preserve">NIST SP 800-53 Rev 5</w:t>
            </w:r>
          </w:p>
        </w:tc>
        <w:tc>
          <w:tcPr/>
          <w:p>
            <w:pPr>
              <w:pStyle w:val="Compact"/>
            </w:pPr>
            <w:r>
              <w:t xml:space="preserve">Security and Privacy Controls — AT, CP, IR families</w:t>
            </w:r>
          </w:p>
        </w:tc>
      </w:tr>
      <w:tr>
        <w:tc>
          <w:tcPr/>
          <w:p>
            <w:pPr>
              <w:pStyle w:val="Compact"/>
            </w:pPr>
            <w:r>
              <w:t xml:space="preserve">NIST SP 800-50</w:t>
            </w:r>
          </w:p>
        </w:tc>
        <w:tc>
          <w:tcPr/>
          <w:p>
            <w:pPr>
              <w:pStyle w:val="Compact"/>
            </w:pPr>
            <w:r>
              <w:t xml:space="preserve">Building an Information Technology Security Awareness and Training Program</w:t>
            </w:r>
          </w:p>
        </w:tc>
      </w:tr>
      <w:tr>
        <w:tc>
          <w:tcPr/>
          <w:p>
            <w:pPr>
              <w:pStyle w:val="Compact"/>
            </w:pPr>
            <w:r>
              <w:t xml:space="preserve">NIST SP 800-16</w:t>
            </w:r>
          </w:p>
        </w:tc>
        <w:tc>
          <w:tcPr/>
          <w:p>
            <w:pPr>
              <w:pStyle w:val="Compact"/>
            </w:pPr>
            <w:r>
              <w:t xml:space="preserve">Information Technology Security Training Requirements</w:t>
            </w:r>
          </w:p>
        </w:tc>
      </w:tr>
      <w:tr>
        <w:tc>
          <w:tcPr/>
          <w:p>
            <w:pPr>
              <w:pStyle w:val="Compact"/>
            </w:pPr>
            <w:r>
              <w:t xml:space="preserve">FedRAMP 20x Consolidated Rules (June 25, 2026)</w:t>
            </w:r>
          </w:p>
        </w:tc>
        <w:tc>
          <w:tcPr/>
          <w:p>
            <w:pPr>
              <w:pStyle w:val="Compact"/>
            </w:pPr>
            <w:r>
              <w:t xml:space="preserve">KSI-CED-RAT — Reviewing All Training</w:t>
            </w:r>
          </w:p>
        </w:tc>
      </w:tr>
      <w:tr>
        <w:tc>
          <w:tcPr/>
          <w:p>
            <w:pPr>
              <w:pStyle w:val="Compact"/>
            </w:pPr>
            <w:r>
              <w:t xml:space="preserve">CISA Cybersecurity Training</w:t>
            </w:r>
          </w:p>
        </w:tc>
        <w:tc>
          <w:tcPr/>
          <w:p>
            <w:pPr>
              <w:pStyle w:val="Compact"/>
            </w:pPr>
            <w:r>
              <w:t xml:space="preserve">free.cisa.gov — federal workforce awareness resources</w:t>
            </w:r>
          </w:p>
        </w:tc>
      </w:tr>
      <w:tr>
        <w:tc>
          <w:tcPr/>
          <w:p>
            <w:pPr>
              <w:pStyle w:val="Compact"/>
            </w:pPr>
            <w:r>
              <w:t xml:space="preserve">DoD Cyber Awareness Challenge</w:t>
            </w:r>
          </w:p>
        </w:tc>
        <w:tc>
          <w:tcPr/>
          <w:p>
            <w:pPr>
              <w:pStyle w:val="Compact"/>
            </w:pPr>
            <w:r>
              <w:t xml:space="preserve">Annual awareness training; ATCTS completion records</w:t>
            </w:r>
          </w:p>
        </w:tc>
      </w:tr>
      <w:tr>
        <w:tc>
          <w:tcPr/>
          <w:p>
            <w:pPr>
              <w:pStyle w:val="Compact"/>
            </w:pPr>
            <w:r>
              <w:t xml:space="preserve">Microsoft Graph API — Viva Learning</w:t>
            </w:r>
          </w:p>
        </w:tc>
        <w:tc>
          <w:tcPr/>
          <w:p>
            <w:pPr>
              <w:pStyle w:val="Compact"/>
            </w:pPr>
            <w:r>
              <w:t xml:space="preserve">LearningCourseActivities endpoint for AT-4 evidence export</w:t>
            </w:r>
          </w:p>
        </w:tc>
      </w:tr>
      <w:tr>
        <w:tc>
          <w:tcPr/>
          <w:p>
            <w:pPr>
              <w:pStyle w:val="Compact"/>
            </w:pPr>
            <w:r>
              <w:t xml:space="preserve">EO 14028</w:t>
            </w:r>
          </w:p>
        </w:tc>
        <w:tc>
          <w:tcPr/>
          <w:p>
            <w:pPr>
              <w:pStyle w:val="Compact"/>
            </w:pPr>
            <w:r>
              <w:t xml:space="preserve">Improving the Nation’s Cybersecurity — training requirements for federal workforce</w:t>
            </w:r>
          </w:p>
        </w:tc>
      </w:tr>
    </w:tbl>
    <w:bookmarkEnd w:id="5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2"/>
  </w:num>
  <w:num w:numId="1012">
    <w:abstractNumId w:val="992"/>
  </w:num>
  <w:num w:numId="1013">
    <w:abstractNumId w:val="992"/>
  </w:num>
  <w:num w:numId="1014">
    <w:abstractNumId w:val="992"/>
  </w:num>
  <w:num w:numId="1015">
    <w:abstractNumId w:val="992"/>
  </w:num>
  <w:num w:numId="1016">
    <w:abstractNumId w:val="992"/>
  </w:num>
  <w:num w:numId="1017">
    <w:abstractNumId w:val="992"/>
  </w:num>
  <w:num w:numId="1018">
    <w:abstractNumId w:val="992"/>
  </w:num>
  <w:num w:numId="1019">
    <w:abstractNumId w:val="992"/>
  </w:num>
  <w:num w:numId="1020">
    <w:abstractNumId w:val="992"/>
  </w:num>
  <w:num w:numId="1021">
    <w:abstractNumId w:val="992"/>
  </w:num>
  <w:num w:numId="1022">
    <w:abstractNumId w:val="992"/>
  </w:num>
  <w:num w:numId="1023">
    <w:abstractNumId w:val="992"/>
  </w:num>
  <w:num w:numId="1024">
    <w:abstractNumId w:val="992"/>
  </w:num>
  <w:num w:numId="1025">
    <w:abstractNumId w:val="992"/>
  </w:num>
  <w:num w:numId="1026">
    <w:abstractNumId w:val="992"/>
  </w:num>
  <w:num w:numId="1027">
    <w:abstractNumId w:val="992"/>
  </w:num>
  <w:num w:numId="1028">
    <w:abstractNumId w:val="992"/>
  </w:num>
  <w:num w:numId="1029">
    <w:abstractNumId w:val="992"/>
  </w:num>
  <w:num w:numId="1030">
    <w:abstractNumId w:val="992"/>
  </w:num>
  <w:num w:numId="1031">
    <w:abstractNumId w:val="992"/>
  </w:num>
  <w:num w:numId="1032">
    <w:abstractNumId w:val="992"/>
  </w:num>
  <w:num w:numId="1033">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IV Book 05 — Federal Compliance — Cybersecurity Training &amp; Awareness</dc:title>
  <dc:creator>Federal Cloud Services</dc:creator>
  <cp:keywords/>
  <dcterms:created xsi:type="dcterms:W3CDTF">2026-10-19T10:10:00Z</dcterms:created>
  <dcterms:modified xsi:type="dcterms:W3CDTF">2026-10-19T10:10:00Z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2026-07-20 00:10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Cybersecurity Awareness and Training Program: AT Family, LMS Evidence Integration, and KSI-CED-RAT Activation for FedRAMP 20x</vt:lpwstr>
  </property>
  <property fmtid="{D5CDD505-2E9C-101B-9397-08002B2CF9AE}" pid="16" name="toc-title">
    <vt:lpwstr>Table of contents</vt:lpwstr>
  </property>
</Properties>
</file>