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Vol IV Book 06 — Federal Compliance — Authorization Package &amp; ConMon</w:t>
      </w:r>
    </w:p>
    <w:p>
      <w:pPr>
        <w:pStyle w:val="Subtitle"/>
      </w:pPr>
      <w:r>
        <w:t xml:space="preserve">Agency Authorization Package (20x KSI Evidence Schema), Continuous Monitoring, and BOD 26-04 Submission</w:t>
      </w:r>
    </w:p>
    <w:p>
      <w:pPr>
        <w:pStyle w:val="Author"/>
      </w:pPr>
      <w:r>
        <w:t xml:space="preserve">Federal Cloud Services</w:t>
      </w:r>
    </w:p>
    <w:p>
      <w:pPr>
        <w:pStyle w:val="Date"/>
      </w:pPr>
      <w:r>
        <w:t xml:space="preserve">2026-07-18 04:56 ET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draft-proposal-subject-to-review"/>
    <w:p>
      <w:pPr>
        <w:pStyle w:val="Heading2"/>
      </w:pPr>
      <w:r>
        <w:t xml:space="preserve">0.1 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2026-07-18 00:56 ET</w:t>
      </w:r>
    </w:p>
    <w:bookmarkEnd w:id="9"/>
    <w:bookmarkStart w:id="10" w:name="preface"/>
    <w:p>
      <w:pPr>
        <w:pStyle w:val="Heading1"/>
      </w:pPr>
      <w:r>
        <w:t xml:space="preserve">1. Preface</w:t>
      </w:r>
    </w:p>
    <w:p>
      <w:pPr>
        <w:pStyle w:val="FirstParagraph"/>
      </w:pPr>
      <w:r>
        <w:t xml:space="preserve">This is the capstone book of the Federal Compliance</w:t>
      </w:r>
      <w:r>
        <w:t xml:space="preserve"> </w:t>
      </w:r>
      <w:r>
        <w:t xml:space="preserve">(Compliance) series. The preceding twenty-two content books, spanning Volumes I–IV, generated the evidence layer: infrastructure</w:t>
      </w:r>
      <w:r>
        <w:t xml:space="preserve"> </w:t>
      </w:r>
      <w:r>
        <w:t xml:space="preserve">architecture, security controls, governance artifacts, and training records</w:t>
      </w:r>
      <w:r>
        <w:t xml:space="preserve"> </w:t>
      </w:r>
      <w:r>
        <w:t xml:space="preserve">mapped to NIST SP 800-53 Rev 5 controls, with ConMon evidence modeled on the</w:t>
      </w:r>
      <w:r>
        <w:t xml:space="preserve"> </w:t>
      </w:r>
      <w:r>
        <w:t xml:space="preserve">FedRAMP 20x CR26 KSI schema (29 rules in the series’ internal KSI decomposition). This document</w:t>
      </w:r>
      <w:r>
        <w:t xml:space="preserve"> </w:t>
      </w:r>
      <w:r>
        <w:t xml:space="preserve">assembles those artifacts into the</w:t>
      </w:r>
      <w:r>
        <w:t xml:space="preserve"> </w:t>
      </w:r>
      <w:r>
        <w:rPr>
          <w:b/>
          <w:bCs/>
        </w:rPr>
        <w:t xml:space="preserve">agency RMF authorization package</w:t>
      </w:r>
      <w:r>
        <w:t xml:space="preserve"> </w:t>
      </w:r>
      <w:r>
        <w:t xml:space="preserve">— the</w:t>
      </w:r>
      <w:r>
        <w:t xml:space="preserve"> </w:t>
      </w:r>
      <w:r>
        <w:t xml:space="preserve">formal package presented to the Agency Authorizing Official for an agency</w:t>
      </w:r>
      <w:r>
        <w:t xml:space="preserve"> </w:t>
      </w:r>
      <w:r>
        <w:t xml:space="preserve">Authorization to Operate (ATO) under NIST SP 800-37, with the FedRAMP-authorized</w:t>
      </w:r>
      <w:r>
        <w:t xml:space="preserve"> </w:t>
      </w:r>
      <w:r>
        <w:t xml:space="preserve">cloud services Agency consumes documented as inherited (leveraged) authorizations.</w:t>
      </w:r>
      <w:r>
        <w:t xml:space="preserve"> </w:t>
      </w:r>
      <w:r>
        <w:t xml:space="preserve">Agency is a consuming agency, not a cloud service provider: nothing in this package</w:t>
      </w:r>
      <w:r>
        <w:t xml:space="preserve"> </w:t>
      </w:r>
      <w:r>
        <w:t xml:space="preserve">is submitted to the FedRAMP PMO. The FedRAMP 20x pipeline (Class A/B/C windows)</w:t>
      </w:r>
      <w:r>
        <w:t xml:space="preserve"> </w:t>
      </w:r>
      <w:r>
        <w:t xml:space="preserve">applies to the CSOs Agency inherits, and this book tracks those provider timelines</w:t>
      </w:r>
      <w:r>
        <w:t xml:space="preserve"> </w:t>
      </w:r>
      <w:r>
        <w:t xml:space="preserve">where they matter to inheritance.</w:t>
      </w:r>
    </w:p>
    <w:p>
      <w:pPr>
        <w:pStyle w:val="BodyText"/>
      </w:pPr>
      <w:r>
        <w:t xml:space="preserve">This book addresses four deliverables:</w:t>
      </w:r>
    </w:p>
    <w:p>
      <w:pPr>
        <w:pStyle w:val="Compact"/>
        <w:numPr>
          <w:ilvl w:val="0"/>
          <w:numId w:val="1001"/>
        </w:numPr>
      </w:pPr>
      <w:r>
        <w:rPr>
          <w:b/>
          <w:bCs/>
        </w:rPr>
        <w:t xml:space="preserve">Authorization Package Structure</w:t>
      </w:r>
      <w:r>
        <w:t xml:space="preserve"> </w:t>
      </w:r>
      <w:r>
        <w:t xml:space="preserve">— what documents, in which format, presented to whom</w:t>
      </w:r>
    </w:p>
    <w:p>
      <w:pPr>
        <w:pStyle w:val="Compact"/>
        <w:numPr>
          <w:ilvl w:val="0"/>
          <w:numId w:val="1001"/>
        </w:numPr>
      </w:pPr>
      <w:r>
        <w:rPr>
          <w:b/>
          <w:bCs/>
        </w:rPr>
        <w:t xml:space="preserve">Continuous Monitoring Program</w:t>
      </w:r>
      <w:r>
        <w:t xml:space="preserve"> </w:t>
      </w:r>
      <w:r>
        <w:t xml:space="preserve">— how the evidence stays fresh after ATO (CA-7)</w:t>
      </w:r>
    </w:p>
    <w:p>
      <w:pPr>
        <w:pStyle w:val="Compact"/>
        <w:numPr>
          <w:ilvl w:val="0"/>
          <w:numId w:val="1001"/>
        </w:numPr>
      </w:pPr>
      <w:r>
        <w:rPr>
          <w:b/>
          <w:bCs/>
        </w:rPr>
        <w:t xml:space="preserve">BOD 26-04 VDR/VER Submission</w:t>
      </w:r>
      <w:r>
        <w:t xml:space="preserve"> </w:t>
      </w:r>
      <w:r>
        <w:t xml:space="preserve">— the December 7, 2026 SBOM + vendor disclosure</w:t>
      </w:r>
    </w:p>
    <w:p>
      <w:pPr>
        <w:pStyle w:val="Compact"/>
        <w:numPr>
          <w:ilvl w:val="0"/>
          <w:numId w:val="1001"/>
        </w:numPr>
      </w:pPr>
      <w:r>
        <w:rPr>
          <w:b/>
          <w:bCs/>
        </w:rPr>
        <w:t xml:space="preserve">OSCAL AP+AR+POAM Bundle</w:t>
      </w:r>
      <w:r>
        <w:t xml:space="preserve"> </w:t>
      </w:r>
      <w:r>
        <w:t xml:space="preserve">— the machine-readable KSI evidence package</w:t>
      </w:r>
    </w:p>
    <w:p>
      <w:pPr>
        <w:pStyle w:val="FirstParagraph"/>
      </w:pPr>
      <w:r>
        <w:t xml:space="preserve">Controls closed by this document: CA-2, CA-5, CA-6, CA-7, CA-7(1), CA-7(3),</w:t>
      </w:r>
      <w:r>
        <w:t xml:space="preserve"> </w:t>
      </w:r>
      <w:r>
        <w:t xml:space="preserve">RA-3, SA-15 (pending registration in the compliance spine).</w:t>
      </w:r>
    </w:p>
    <w:p>
      <w:r>
        <w:pict>
          <v:rect style="width:0;height:1.5pt" o:hralign="center" o:hrstd="t" o:hr="t"/>
        </w:pict>
      </w:r>
    </w:p>
    <w:bookmarkEnd w:id="10"/>
    <w:bookmarkStart w:id="13" w:name="Xa04494a27b2c3c3f3dc70d94166e0f44e2439ee"/>
    <w:p>
      <w:pPr>
        <w:pStyle w:val="Heading1"/>
      </w:pPr>
      <w:r>
        <w:t xml:space="preserve">2. 1 The Twenty-Two-Book Journey — All 29 Internal KSI Rules Evaluable at High Confidence</w:t>
      </w:r>
    </w:p>
    <w:bookmarkStart w:id="11" w:name="series-summary"/>
    <w:p>
      <w:pPr>
        <w:pStyle w:val="Heading2"/>
      </w:pPr>
      <w:r>
        <w:t xml:space="preserve">2.1 1.1 Series Summary</w:t>
      </w:r>
    </w:p>
    <w:p>
      <w:pPr>
        <w:pStyle w:val="FirstParagraph"/>
      </w:pPr>
      <w:r>
        <w:t xml:space="preserve">The Compliance series delivered twenty-two technical books covering the Agency GCC</w:t>
      </w:r>
      <w:r>
        <w:t xml:space="preserve"> </w:t>
      </w:r>
      <w:r>
        <w:t xml:space="preserve">Moderate boundary against NIST SP 800-53 Rev 5 and FedRAMP 20x Consolidated</w:t>
      </w:r>
      <w:r>
        <w:t xml:space="preserve"> </w:t>
      </w:r>
      <w:r>
        <w:t xml:space="preserve">Rules. Together the series closes</w:t>
      </w:r>
      <w:r>
        <w:t xml:space="preserve"> </w:t>
      </w:r>
      <w:r>
        <w:rPr>
          <w:b/>
          <w:bCs/>
        </w:rPr>
        <w:t xml:space="preserve">89+ distinct NIST controls</w:t>
      </w:r>
      <w:r>
        <w:t xml:space="preserve"> </w:t>
      </w:r>
      <w:r>
        <w:t xml:space="preserve">and provides</w:t>
      </w:r>
      <w:r>
        <w:t xml:space="preserve"> </w:t>
      </w:r>
      <w:r>
        <w:t xml:space="preserve">self-assessed evidence for all</w:t>
      </w:r>
      <w:r>
        <w:t xml:space="preserve"> </w:t>
      </w:r>
      <w:r>
        <w:rPr>
          <w:b/>
          <w:bCs/>
        </w:rPr>
        <w:t xml:space="preserve">29 rules in the series’ internal KSI decomposition</w:t>
      </w:r>
      <w:r>
        <w:t xml:space="preserve"> </w:t>
      </w:r>
      <w:r>
        <w:t xml:space="preserve">(modeled on the FedRAMP 20x CR26 KSI schema).</w:t>
      </w:r>
    </w:p>
    <w:p>
      <w:pPr>
        <w:pStyle w:val="BodyText"/>
      </w:pPr>
      <w:r>
        <w:rPr>
          <w:b/>
          <w:bCs/>
        </w:rPr>
        <w:t xml:space="preserve">Self-Assessment Notice.</w:t>
      </w:r>
      <w:r>
        <w:t xml:space="preserve"> </w:t>
      </w:r>
      <w:r>
        <w:t xml:space="preserve">All KSI verdicts in this document are produced by</w:t>
      </w:r>
      <w:r>
        <w:t xml:space="preserve"> </w:t>
      </w:r>
      <w:r>
        <w:t xml:space="preserve">the governance engine’s conformance adapter — an automated self-assessment tool. They are</w:t>
      </w:r>
      <w:r>
        <w:t xml:space="preserve"> </w:t>
      </w:r>
      <w:r>
        <w:t xml:space="preserve">advisory and do not constitute a formal authorization. Results must be</w:t>
      </w:r>
      <w:r>
        <w:t xml:space="preserve"> </w:t>
      </w:r>
      <w:r>
        <w:t xml:space="preserve">independently validated through a security control assessment (SCA) — Agency may</w:t>
      </w:r>
      <w:r>
        <w:t xml:space="preserve"> </w:t>
      </w:r>
      <w:r>
        <w:t xml:space="preserve">engage a FedRAMP-recognized 3PAO as its independent assessor — and accepted by</w:t>
      </w:r>
      <w:r>
        <w:t xml:space="preserve"> </w:t>
      </w:r>
      <w:r>
        <w:t xml:space="preserve">the Agency Authorizing Official before an ATO is granted.</w:t>
      </w:r>
    </w:p>
    <w:p>
      <w:pPr>
        <w:pStyle w:val="BodyText"/>
      </w:pPr>
      <w:r>
        <w:rPr>
          <w:b/>
          <w:bCs/>
        </w:rPr>
        <w:t xml:space="preserve">KSI-count reconciliation (initial diff published).</w:t>
      </w:r>
      <w:r>
        <w:t xml:space="preserve"> </w:t>
      </w:r>
      <w:r>
        <w:t xml:space="preserve">The 29 rules evaluated</w:t>
      </w:r>
      <w:r>
        <w:t xml:space="preserve"> </w:t>
      </w:r>
      <w:r>
        <w:t xml:space="preserve">here are the series’ internal KSI decomposition, not the published CR26 Moderate KSI</w:t>
      </w:r>
      <w:r>
        <w:t xml:space="preserve"> </w:t>
      </w:r>
      <w:r>
        <w:t xml:space="preserve">catalog. The rule-ID-by-rule-ID diff against the in-repo CR26 OSCAL catalog now</w:t>
      </w:r>
      <w:r>
        <w:t xml:space="preserve"> </w:t>
      </w:r>
      <w:r>
        <w:t xml:space="preserve">exists — see</w:t>
      </w:r>
      <w:r>
        <w:t xml:space="preserve"> </w:t>
      </w:r>
      <w:r>
        <w:rPr>
          <w:rStyle w:val="VerbatimChar"/>
        </w:rPr>
        <w:t xml:space="preserve">Compliance_CR26_Reconciliation.md</w:t>
      </w:r>
      <w:r>
        <w:t xml:space="preserve">. Result:</w:t>
      </w:r>
      <w:r>
        <w:t xml:space="preserve"> </w:t>
      </w:r>
      <w:r>
        <w:rPr>
          <w:b/>
          <w:bCs/>
        </w:rPr>
        <w:t xml:space="preserve">19 of 46</w:t>
      </w:r>
      <w:r>
        <w:t xml:space="preserve"> </w:t>
      </w:r>
      <w:r>
        <w:t xml:space="preserve">CR26 indicators</w:t>
      </w:r>
      <w:r>
        <w:t xml:space="preserve"> </w:t>
      </w:r>
      <w:r>
        <w:t xml:space="preserve">are explicitly mapped 1:1 to an internal rule (six themes fully covered);</w:t>
      </w:r>
      <w:r>
        <w:t xml:space="preserve"> </w:t>
      </w:r>
      <w:r>
        <w:rPr>
          <w:b/>
          <w:bCs/>
        </w:rPr>
        <w:t xml:space="preserve">27</w:t>
      </w:r>
      <w:r>
        <w:rPr>
          <w:b/>
          <w:bCs/>
        </w:rPr>
        <w:t xml:space="preserve"> </w:t>
      </w:r>
      <w:r>
        <w:rPr>
          <w:b/>
          <w:bCs/>
        </w:rPr>
        <w:t xml:space="preserve">are not yet bound to an indicator ID</w:t>
      </w:r>
      <w:r>
        <w:t xml:space="preserve"> </w:t>
      </w:r>
      <w:r>
        <w:t xml:space="preserve">(the IAM/CNA/SVC/MLA themes, addressed by</w:t>
      </w:r>
      <w:r>
        <w:t xml:space="preserve"> </w:t>
      </w:r>
      <w:r>
        <w:t xml:space="preserve">the 10 ScuBA baseline rules without indicator-ID binding). So</w:t>
      </w:r>
      <w:r>
        <w:t xml:space="preserve"> </w:t>
      </w:r>
      <w:r>
        <w:t xml:space="preserve">“29/29 satisfied”</w:t>
      </w:r>
      <w:r>
        <w:t xml:space="preserve"> </w:t>
      </w:r>
      <w:r>
        <w:t xml:space="preserve">is a claim about the internal rule set; CR26 indicator-level coverage is 19/46</w:t>
      </w:r>
      <w:r>
        <w:t xml:space="preserve"> </w:t>
      </w:r>
      <w:r>
        <w:t xml:space="preserve">explicitly mapped, and the POA&amp;M is expected non-empty once the remaining</w:t>
      </w:r>
      <w:r>
        <w:t xml:space="preserve"> </w:t>
      </w:r>
      <w:r>
        <w:t xml:space="preserve">indicators are assessed against the finalized CR26 Moderate list (June 25, 2026)</w:t>
      </w:r>
      <w:r>
        <w:t xml:space="preserve"> </w:t>
      </w:r>
      <w:r>
        <w:t xml:space="preserve">by an independent SCA.</w:t>
      </w:r>
    </w:p>
    <w:p>
      <w:pPr>
        <w:pStyle w:val="TableCaption"/>
      </w:pPr>
      <w:r>
        <w:t xml:space="preserve">Compliance Series — Control Coverage Summary</w:t>
      </w:r>
    </w:p>
    <w:tbl>
      <w:tblPr>
        <w:tblStyle w:val="Table"/>
        <w:tblW w:type="pct" w:w="5000"/>
        <w:tblLayout w:type="fixed"/>
        <w:tblLook w:firstRow="1" w:lastRow="0" w:firstColumn="0" w:lastColumn="0" w:noHBand="0" w:noVBand="0" w:val="0020"/>
        <w:tblCaption w:val="Compliance Series — Control Coverage Summary"/>
      </w:tblPr>
      <w:tblGrid>
        <w:gridCol w:w="2066"/>
        <w:gridCol w:w="2410"/>
        <w:gridCol w:w="3443"/>
      </w:tblGrid>
      <w:tr>
        <w:trPr>
          <w:tblHeader w:val="on"/>
        </w:trPr>
        <w:tc>
          <w:tcPr/>
          <w:p>
            <w:pPr>
              <w:pStyle w:val="Compact"/>
            </w:pPr>
            <w:r>
              <w:t xml:space="preserve">Book</w:t>
            </w:r>
          </w:p>
        </w:tc>
        <w:tc>
          <w:tcPr/>
          <w:p>
            <w:pPr>
              <w:pStyle w:val="Compact"/>
            </w:pPr>
            <w:r>
              <w:t xml:space="preserve">Topic</w:t>
            </w:r>
          </w:p>
        </w:tc>
        <w:tc>
          <w:tcPr/>
          <w:p>
            <w:pPr>
              <w:pStyle w:val="Compact"/>
            </w:pPr>
            <w:r>
              <w:t xml:space="preserve">Controls</w:t>
            </w:r>
          </w:p>
        </w:tc>
      </w:tr>
      <w:tr>
        <w:tc>
          <w:tcPr/>
          <w:p>
            <w:pPr>
              <w:pStyle w:val="Compact"/>
            </w:pPr>
            <w:r>
              <w:t xml:space="preserve">Vol I Book 01</w:t>
            </w:r>
          </w:p>
        </w:tc>
        <w:tc>
          <w:tcPr/>
          <w:p>
            <w:pPr>
              <w:pStyle w:val="Compact"/>
            </w:pPr>
            <w:r>
              <w:t xml:space="preserve">InfoBlox DDI — IPAM, DNS, DHCP, PKI</w:t>
            </w:r>
          </w:p>
        </w:tc>
        <w:tc>
          <w:tcPr/>
          <w:p>
            <w:pPr>
              <w:pStyle w:val="Compact"/>
            </w:pPr>
            <w:r>
              <w:t xml:space="preserve">16</w:t>
            </w:r>
          </w:p>
        </w:tc>
      </w:tr>
      <w:tr>
        <w:tc>
          <w:tcPr/>
          <w:p>
            <w:pPr>
              <w:pStyle w:val="Compact"/>
            </w:pPr>
            <w:r>
              <w:t xml:space="preserve">Vol I Book 02</w:t>
            </w:r>
          </w:p>
        </w:tc>
        <w:tc>
          <w:tcPr/>
          <w:p>
            <w:pPr>
              <w:pStyle w:val="Compact"/>
            </w:pPr>
            <w:r>
              <w:t xml:space="preserve">Network Access Control — 802.1X device identity at the port (device-identity evidence for the network and endpoint slot families)</w:t>
            </w:r>
          </w:p>
        </w:tc>
        <w:tc>
          <w:tcPr/>
          <w:p>
            <w:pPr>
              <w:pStyle w:val="Compact"/>
            </w:pPr>
            <w:r>
              <w:t xml:space="preserve">IA-3, IA-3(1), AC-19, SC-7(3), SC-7(5), CM-8</w:t>
            </w:r>
          </w:p>
        </w:tc>
      </w:tr>
      <w:tr>
        <w:tc>
          <w:tcPr/>
          <w:p>
            <w:pPr>
              <w:pStyle w:val="Compact"/>
            </w:pPr>
            <w:r>
              <w:t xml:space="preserve">Vol I Book 03</w:t>
            </w:r>
          </w:p>
        </w:tc>
        <w:tc>
          <w:tcPr/>
          <w:p>
            <w:pPr>
              <w:pStyle w:val="Compact"/>
            </w:pPr>
            <w:r>
              <w:t xml:space="preserve">Certificates and Tokens — cryptographic identity (PKI lifecycle, OAuth/OIDC, CBA; identity slot family evidence)</w:t>
            </w:r>
          </w:p>
        </w:tc>
        <w:tc>
          <w:tcPr/>
          <w:p>
            <w:pPr>
              <w:pStyle w:val="Compact"/>
            </w:pPr>
            <w:r>
              <w:t xml:space="preserve">IA-2(1)/(2), IA-5(2), SC-12, SC-17</w:t>
            </w:r>
          </w:p>
        </w:tc>
      </w:tr>
      <w:tr>
        <w:tc>
          <w:tcPr/>
          <w:p>
            <w:pPr>
              <w:pStyle w:val="Compact"/>
            </w:pPr>
            <w:r>
              <w:t xml:space="preserve">Vol I Book 04</w:t>
            </w:r>
          </w:p>
        </w:tc>
        <w:tc>
          <w:tcPr/>
          <w:p>
            <w:pPr>
              <w:pStyle w:val="Compact"/>
            </w:pPr>
            <w:r>
              <w:t xml:space="preserve">OPM HRIT and the Identity &amp; Organizational SSOT — Oracle HCM Cloud as the HR system of record (identity slot family evidence, slot-01)</w:t>
            </w:r>
          </w:p>
        </w:tc>
        <w:tc>
          <w:tcPr/>
          <w:p>
            <w:pPr>
              <w:pStyle w:val="Compact"/>
            </w:pPr>
            <w:r>
              <w:t xml:space="preserve">AC-2, AC-2(1), PS-4, PS-5, IA-4, SI-12</w:t>
            </w:r>
          </w:p>
        </w:tc>
      </w:tr>
      <w:tr>
        <w:tc>
          <w:tcPr/>
          <w:p>
            <w:pPr>
              <w:pStyle w:val="Compact"/>
            </w:pPr>
            <w:r>
              <w:t xml:space="preserve">Vol I Book 06</w:t>
            </w:r>
          </w:p>
        </w:tc>
        <w:tc>
          <w:tcPr/>
          <w:p>
            <w:pPr>
              <w:pStyle w:val="Compact"/>
            </w:pPr>
            <w:r>
              <w:t xml:space="preserve">SD-WAN, SASE, UC (Teams Phone, Amazon Connect)</w:t>
            </w:r>
          </w:p>
        </w:tc>
        <w:tc>
          <w:tcPr/>
          <w:p>
            <w:pPr>
              <w:pStyle w:val="Compact"/>
            </w:pPr>
            <w:r>
              <w:t xml:space="preserve">7</w:t>
            </w:r>
          </w:p>
        </w:tc>
      </w:tr>
      <w:tr>
        <w:tc>
          <w:tcPr/>
          <w:p>
            <w:pPr>
              <w:pStyle w:val="Compact"/>
            </w:pPr>
            <w:r>
              <w:t xml:space="preserve">Vol I Book 05</w:t>
            </w:r>
          </w:p>
        </w:tc>
        <w:tc>
          <w:tcPr/>
          <w:p>
            <w:pPr>
              <w:pStyle w:val="Compact"/>
            </w:pPr>
            <w:r>
              <w:t xml:space="preserve">Entra ID, ZTNA, Drift Reconciliation</w:t>
            </w:r>
          </w:p>
        </w:tc>
        <w:tc>
          <w:tcPr/>
          <w:p>
            <w:pPr>
              <w:pStyle w:val="Compact"/>
            </w:pPr>
            <w:r>
              <w:t xml:space="preserve">12</w:t>
            </w:r>
          </w:p>
        </w:tc>
      </w:tr>
      <w:tr>
        <w:tc>
          <w:tcPr/>
          <w:p>
            <w:pPr>
              <w:pStyle w:val="Compact"/>
            </w:pPr>
            <w:r>
              <w:t xml:space="preserve">Vol II Book 01</w:t>
            </w:r>
          </w:p>
        </w:tc>
        <w:tc>
          <w:tcPr/>
          <w:p>
            <w:pPr>
              <w:pStyle w:val="Compact"/>
            </w:pPr>
            <w:r>
              <w:t xml:space="preserve">SQL Server Authentication Modernization</w:t>
            </w:r>
          </w:p>
        </w:tc>
        <w:tc>
          <w:tcPr/>
          <w:p>
            <w:pPr>
              <w:pStyle w:val="Compact"/>
            </w:pPr>
            <w:r>
              <w:t xml:space="preserve">IA family (depth)</w:t>
            </w:r>
          </w:p>
        </w:tc>
      </w:tr>
      <w:tr>
        <w:tc>
          <w:tcPr/>
          <w:p>
            <w:pPr>
              <w:pStyle w:val="Compact"/>
            </w:pPr>
            <w:r>
              <w:t xml:space="preserve">Vol II Book 02</w:t>
            </w:r>
          </w:p>
        </w:tc>
        <w:tc>
          <w:tcPr/>
          <w:p>
            <w:pPr>
              <w:pStyle w:val="Compact"/>
            </w:pPr>
            <w:r>
              <w:t xml:space="preserve">SQL Server Implementation Runbook</w:t>
            </w:r>
          </w:p>
        </w:tc>
        <w:tc>
          <w:tcPr/>
          <w:p>
            <w:pPr>
              <w:pStyle w:val="Compact"/>
            </w:pPr>
            <w:r>
              <w:t xml:space="preserve">Procedural evidence</w:t>
            </w:r>
          </w:p>
        </w:tc>
      </w:tr>
      <w:tr>
        <w:tc>
          <w:tcPr/>
          <w:p>
            <w:pPr>
              <w:pStyle w:val="Compact"/>
            </w:pPr>
            <w:r>
              <w:t xml:space="preserve">Vol II Book 03</w:t>
            </w:r>
          </w:p>
        </w:tc>
        <w:tc>
          <w:tcPr/>
          <w:p>
            <w:pPr>
              <w:pStyle w:val="Compact"/>
            </w:pPr>
            <w:r>
              <w:t xml:space="preserve">Database Architecture / Network Physics</w:t>
            </w:r>
          </w:p>
        </w:tc>
        <w:tc>
          <w:tcPr/>
          <w:p>
            <w:pPr>
              <w:pStyle w:val="Compact"/>
            </w:pPr>
            <w:r>
              <w:t xml:space="preserve">SC/SI families (depth)</w:t>
            </w:r>
          </w:p>
        </w:tc>
      </w:tr>
      <w:tr>
        <w:tc>
          <w:tcPr/>
          <w:p>
            <w:pPr>
              <w:pStyle w:val="Compact"/>
            </w:pPr>
            <w:r>
              <w:t xml:space="preserve">Vol III Book 01</w:t>
            </w:r>
          </w:p>
        </w:tc>
        <w:tc>
          <w:tcPr/>
          <w:p>
            <w:pPr>
              <w:pStyle w:val="Compact"/>
            </w:pPr>
            <w:r>
              <w:t xml:space="preserve">Privileged Access Management (Entra PIM + PAW)</w:t>
            </w:r>
          </w:p>
        </w:tc>
        <w:tc>
          <w:tcPr/>
          <w:p>
            <w:pPr>
              <w:pStyle w:val="Compact"/>
            </w:pPr>
            <w:r>
              <w:t xml:space="preserve">AC-5, AC-6(×7), AC-11/12, IA-11</w:t>
            </w:r>
          </w:p>
        </w:tc>
      </w:tr>
      <w:tr>
        <w:tc>
          <w:tcPr/>
          <w:p>
            <w:pPr>
              <w:pStyle w:val="Compact"/>
            </w:pPr>
            <w:r>
              <w:t xml:space="preserve">Vol III Book 02</w:t>
            </w:r>
          </w:p>
        </w:tc>
        <w:tc>
          <w:tcPr/>
          <w:p>
            <w:pPr>
              <w:pStyle w:val="Compact"/>
            </w:pPr>
            <w:r>
              <w:t xml:space="preserve">Vulnerability Management (Defender VM + KEV)</w:t>
            </w:r>
          </w:p>
        </w:tc>
        <w:tc>
          <w:tcPr/>
          <w:p>
            <w:pPr>
              <w:pStyle w:val="Compact"/>
            </w:pPr>
            <w:r>
              <w:t xml:space="preserve">RA-5(×3), SI-2(×2), SI-5, CM-7(×2)</w:t>
            </w:r>
          </w:p>
        </w:tc>
      </w:tr>
      <w:tr>
        <w:tc>
          <w:tcPr/>
          <w:p>
            <w:pPr>
              <w:pStyle w:val="Compact"/>
            </w:pPr>
            <w:r>
              <w:t xml:space="preserve">Vol III Book 05</w:t>
            </w:r>
          </w:p>
        </w:tc>
        <w:tc>
          <w:tcPr/>
          <w:p>
            <w:pPr>
              <w:pStyle w:val="Compact"/>
            </w:pPr>
            <w:r>
              <w:t xml:space="preserve">Data Protection (Purview + Key Vault CMK)</w:t>
            </w:r>
          </w:p>
        </w:tc>
        <w:tc>
          <w:tcPr/>
          <w:p>
            <w:pPr>
              <w:pStyle w:val="Compact"/>
            </w:pPr>
            <w:r>
              <w:t xml:space="preserve">MP-2–5, SC-12/13/17/28, AU-10</w:t>
            </w:r>
          </w:p>
        </w:tc>
      </w:tr>
      <w:tr>
        <w:tc>
          <w:tcPr/>
          <w:p>
            <w:pPr>
              <w:pStyle w:val="Compact"/>
            </w:pPr>
            <w:r>
              <w:t xml:space="preserve">Vol III Book 06</w:t>
            </w:r>
          </w:p>
        </w:tc>
        <w:tc>
          <w:tcPr/>
          <w:p>
            <w:pPr>
              <w:pStyle w:val="Compact"/>
            </w:pPr>
            <w:r>
              <w:t xml:space="preserve">SIEM / XDR / Detection Engineering (Sentinel)</w:t>
            </w:r>
          </w:p>
        </w:tc>
        <w:tc>
          <w:tcPr/>
          <w:p>
            <w:pPr>
              <w:pStyle w:val="Compact"/>
            </w:pPr>
            <w:r>
              <w:t xml:space="preserve">AU-6(×3), AU-7/8/11, SI-4(×4), IR-4/6/8</w:t>
            </w:r>
          </w:p>
        </w:tc>
      </w:tr>
      <w:tr>
        <w:tc>
          <w:tcPr/>
          <w:p>
            <w:pPr>
              <w:pStyle w:val="Compact"/>
            </w:pPr>
            <w:r>
              <w:t xml:space="preserve">Vol IV Book 01</w:t>
            </w:r>
          </w:p>
        </w:tc>
        <w:tc>
          <w:tcPr/>
          <w:p>
            <w:pPr>
              <w:pStyle w:val="Compact"/>
            </w:pPr>
            <w:r>
              <w:t xml:space="preserve">Business Continuity / Contingency Planning</w:t>
            </w:r>
          </w:p>
        </w:tc>
        <w:tc>
          <w:tcPr/>
          <w:p>
            <w:pPr>
              <w:pStyle w:val="Compact"/>
            </w:pPr>
            <w:r>
              <w:t xml:space="preserve">CP-2(×3), CP-3/4(×2), CP-6/7(×3), CP-8(×2)</w:t>
            </w:r>
          </w:p>
        </w:tc>
      </w:tr>
      <w:tr>
        <w:tc>
          <w:tcPr/>
          <w:p>
            <w:pPr>
              <w:pStyle w:val="Compact"/>
            </w:pPr>
            <w:r>
              <w:t xml:space="preserve">Vol IV Book 02</w:t>
            </w:r>
          </w:p>
        </w:tc>
        <w:tc>
          <w:tcPr/>
          <w:p>
            <w:pPr>
              <w:pStyle w:val="Compact"/>
            </w:pPr>
            <w:r>
              <w:t xml:space="preserve">Supply Chain Risk / SBOM / VDR</w:t>
            </w:r>
          </w:p>
        </w:tc>
        <w:tc>
          <w:tcPr/>
          <w:p>
            <w:pPr>
              <w:pStyle w:val="Compact"/>
            </w:pPr>
            <w:r>
              <w:t xml:space="preserve">SR-1–3/5/6/8/10/11 + BOD 26-04 framework</w:t>
            </w:r>
          </w:p>
        </w:tc>
      </w:tr>
      <w:tr>
        <w:tc>
          <w:tcPr/>
          <w:p>
            <w:pPr>
              <w:pStyle w:val="Compact"/>
            </w:pPr>
            <w:r>
              <w:t xml:space="preserve">Vol IV Book 03</w:t>
            </w:r>
          </w:p>
        </w:tc>
        <w:tc>
          <w:tcPr/>
          <w:p>
            <w:pPr>
              <w:pStyle w:val="Compact"/>
            </w:pPr>
            <w:r>
              <w:t xml:space="preserve">Program Management Governance</w:t>
            </w:r>
          </w:p>
        </w:tc>
        <w:tc>
          <w:tcPr/>
          <w:p>
            <w:pPr>
              <w:pStyle w:val="Compact"/>
            </w:pPr>
            <w:r>
              <w:t xml:space="preserve">PM-1/2/5/7/9/11/14/15/30</w:t>
            </w:r>
          </w:p>
        </w:tc>
      </w:tr>
      <w:tr>
        <w:tc>
          <w:tcPr/>
          <w:p>
            <w:pPr>
              <w:pStyle w:val="Compact"/>
            </w:pPr>
            <w:r>
              <w:t xml:space="preserve">Vol IV Book 04</w:t>
            </w:r>
          </w:p>
        </w:tc>
        <w:tc>
          <w:tcPr/>
          <w:p>
            <w:pPr>
              <w:pStyle w:val="Compact"/>
            </w:pPr>
            <w:r>
              <w:t xml:space="preserve">PII Processing and Transparency</w:t>
            </w:r>
          </w:p>
        </w:tc>
        <w:tc>
          <w:tcPr/>
          <w:p>
            <w:pPr>
              <w:pStyle w:val="Compact"/>
            </w:pPr>
            <w:r>
              <w:t xml:space="preserve">PT-1/2/3/4/5/7</w:t>
            </w:r>
          </w:p>
        </w:tc>
      </w:tr>
      <w:tr>
        <w:tc>
          <w:tcPr/>
          <w:p>
            <w:pPr>
              <w:pStyle w:val="Compact"/>
            </w:pPr>
            <w:r>
              <w:t xml:space="preserve">Vol IV Book 05</w:t>
            </w:r>
          </w:p>
        </w:tc>
        <w:tc>
          <w:tcPr/>
          <w:p>
            <w:pPr>
              <w:pStyle w:val="Compact"/>
            </w:pPr>
            <w:r>
              <w:t xml:space="preserve">Cybersecurity Awareness and Training</w:t>
            </w:r>
          </w:p>
        </w:tc>
        <w:tc>
          <w:tcPr/>
          <w:p>
            <w:pPr>
              <w:pStyle w:val="Compact"/>
            </w:pPr>
            <w:r>
              <w:t xml:space="preserve">AT-2, AT-2(1)/2, AT-3, AT-3(3)/5, AT-4, CP-3, IR-2</w:t>
            </w:r>
          </w:p>
        </w:tc>
      </w:tr>
    </w:tbl>
    <w:bookmarkEnd w:id="11"/>
    <w:bookmarkStart w:id="12" w:name="ksi-scorecard"/>
    <w:p>
      <w:pPr>
        <w:pStyle w:val="Heading2"/>
      </w:pPr>
      <w:r>
        <w:t xml:space="preserve">2.2 1.2 KSI Scorecard</w:t>
      </w:r>
    </w:p>
    <w:p>
      <w:pPr>
        <w:pStyle w:val="FirstParagraph"/>
      </w:pPr>
      <w:r>
        <w:t xml:space="preserve">The governance engine’s conformance adapter evaluates all 29 internal KSI rules against the</w:t>
      </w:r>
      <w:r>
        <w:t xml:space="preserve"> </w:t>
      </w:r>
      <w:r>
        <w:t xml:space="preserve">Compliance slot evidence. As of July 4, 2026 (self-assessment — pending independent SCA):</w:t>
      </w:r>
    </w:p>
    <w:p>
      <w:pPr>
        <w:pStyle w:val="TableCaption"/>
      </w:pPr>
      <w:r>
        <w:t xml:space="preserve">KSI Evaluation Summary — 29/29 Evaluable at High Confidence (Self-Assessed)</w:t>
      </w:r>
    </w:p>
    <w:tbl>
      <w:tblPr>
        <w:tblStyle w:val="Table"/>
        <w:tblW w:type="pct" w:w="5000"/>
        <w:tblLayout w:type="fixed"/>
        <w:tblLook w:firstRow="1" w:lastRow="0" w:firstColumn="0" w:lastColumn="0" w:noHBand="0" w:noVBand="0" w:val="0020"/>
        <w:tblCaption w:val="KSI Evaluation Summary — 29/29 Evaluable at High Confidence (Self-Assessed)"/>
      </w:tblPr>
      <w:tblGrid>
        <w:gridCol w:w="3090"/>
        <w:gridCol w:w="1352"/>
        <w:gridCol w:w="1738"/>
        <w:gridCol w:w="1738"/>
      </w:tblGrid>
      <w:tr>
        <w:trPr>
          <w:tblHeader w:val="on"/>
        </w:trPr>
        <w:tc>
          <w:tcPr/>
          <w:p>
            <w:pPr>
              <w:pStyle w:val="Compact"/>
            </w:pPr>
            <w:r>
              <w:t xml:space="preserve">Evaluation Path</w:t>
            </w:r>
          </w:p>
        </w:tc>
        <w:tc>
          <w:tcPr/>
          <w:p>
            <w:pPr>
              <w:pStyle w:val="Compact"/>
            </w:pPr>
            <w:r>
              <w:t xml:space="preserve">Count</w:t>
            </w:r>
          </w:p>
        </w:tc>
        <w:tc>
          <w:tcPr/>
          <w:p>
            <w:pPr>
              <w:pStyle w:val="Compact"/>
            </w:pPr>
            <w:r>
              <w:t xml:space="preserve">KSI IDs</w:t>
            </w:r>
          </w:p>
        </w:tc>
        <w:tc>
          <w:tcPr/>
          <w:p>
            <w:pPr>
              <w:pStyle w:val="Compact"/>
            </w:pPr>
            <w:r>
              <w:t xml:space="preserve">Verdict</w:t>
            </w:r>
          </w:p>
        </w:tc>
      </w:tr>
      <w:tr>
        <w:tc>
          <w:tcPr/>
          <w:p>
            <w:pPr>
              <w:pStyle w:val="Compact"/>
            </w:pPr>
            <w:r>
              <w:t xml:space="preserve">CISA ScuBA adapter (M365 continuous)</w:t>
            </w:r>
          </w:p>
        </w:tc>
        <w:tc>
          <w:tcPr/>
          <w:p>
            <w:pPr>
              <w:pStyle w:val="Compact"/>
            </w:pPr>
            <w:r>
              <w:t xml:space="preserve">10</w:t>
            </w:r>
          </w:p>
        </w:tc>
        <w:tc>
          <w:tcPr/>
          <w:p>
            <w:pPr>
              <w:pStyle w:val="Compact"/>
            </w:pPr>
            <w:r>
              <w:t xml:space="preserve">KSI-001..010</w:t>
            </w:r>
          </w:p>
        </w:tc>
        <w:tc>
          <w:tcPr/>
          <w:p>
            <w:pPr>
              <w:pStyle w:val="Compact"/>
            </w:pPr>
            <w:r>
              <w:rPr>
                <w:b/>
                <w:bCs/>
              </w:rPr>
              <w:t xml:space="preserve">satisfied</w:t>
            </w:r>
          </w:p>
        </w:tc>
      </w:tr>
      <w:tr>
        <w:tc>
          <w:tcPr/>
          <w:p>
            <w:pPr>
              <w:pStyle w:val="Compact"/>
            </w:pPr>
            <w:r>
              <w:t xml:space="preserve">Compliance slot evaluator — high confidence</w:t>
            </w:r>
          </w:p>
        </w:tc>
        <w:tc>
          <w:tcPr/>
          <w:p>
            <w:pPr>
              <w:pStyle w:val="Compact"/>
            </w:pPr>
            <w:r>
              <w:t xml:space="preserve">19</w:t>
            </w:r>
          </w:p>
        </w:tc>
        <w:tc>
          <w:tcPr/>
          <w:p>
            <w:pPr>
              <w:pStyle w:val="Compact"/>
            </w:pPr>
            <w:r>
              <w:t xml:space="preserve">KSI-011..029</w:t>
            </w:r>
          </w:p>
        </w:tc>
        <w:tc>
          <w:tcPr/>
          <w:p>
            <w:pPr>
              <w:pStyle w:val="Compact"/>
            </w:pPr>
            <w:r>
              <w:rPr>
                <w:b/>
                <w:bCs/>
              </w:rPr>
              <w:t xml:space="preserve">satisfied</w:t>
            </w:r>
          </w:p>
        </w:tc>
      </w:tr>
      <w:tr>
        <w:tc>
          <w:tcPr/>
          <w:p>
            <w:pPr>
              <w:pStyle w:val="Compact"/>
            </w:pPr>
            <w:r>
              <w:t xml:space="preserve">Scaffold (pending evidence)</w:t>
            </w:r>
          </w:p>
        </w:tc>
        <w:tc>
          <w:tcPr/>
          <w:p>
            <w:pPr>
              <w:pStyle w:val="Compact"/>
            </w:pPr>
            <w:r>
              <w:t xml:space="preserve">0</w:t>
            </w:r>
          </w:p>
        </w:tc>
        <w:tc>
          <w:tcPr/>
          <w:p>
            <w:pPr>
              <w:pStyle w:val="Compact"/>
            </w:pPr>
            <w:r>
              <w:t xml:space="preserve">—</w:t>
            </w:r>
          </w:p>
        </w:tc>
        <w:tc>
          <w:tcPr/>
          <w:p>
            <w:pPr>
              <w:pStyle w:val="Compact"/>
            </w:pPr>
            <w:r>
              <w:t xml:space="preserve">—</w:t>
            </w:r>
          </w:p>
        </w:tc>
      </w:tr>
    </w:tbl>
    <w:p>
      <w:pPr>
        <w:pStyle w:val="BodyText"/>
      </w:pPr>
      <w:r>
        <w:t xml:space="preserve">All 29 rules in scope evaluated at high confidence in the current self-assessment</w:t>
      </w:r>
      <w:r>
        <w:t xml:space="preserve"> </w:t>
      </w:r>
      <w:r>
        <w:t xml:space="preserve">run. Zero open risks identified</w:t>
      </w:r>
      <w:r>
        <w:t xml:space="preserve"> </w:t>
      </w:r>
      <w:r>
        <w:rPr>
          <w:b/>
          <w:bCs/>
        </w:rPr>
        <w:t xml:space="preserve">in the series’ internal KSI decomposition</w:t>
      </w:r>
      <w:r>
        <w:t xml:space="preserve">; zero POA&amp;M</w:t>
      </w:r>
      <w:r>
        <w:t xml:space="preserve"> </w:t>
      </w:r>
      <w:r>
        <w:t xml:space="preserve">items generated</w:t>
      </w:r>
      <w:r>
        <w:t xml:space="preserve"> </w:t>
      </w:r>
      <w:r>
        <w:rPr>
          <w:b/>
          <w:bCs/>
        </w:rPr>
        <w:t xml:space="preserve">against that rule set</w:t>
      </w:r>
      <w:r>
        <w:t xml:space="preserve"> </w:t>
      </w:r>
      <w:r>
        <w:t xml:space="preserve">— the POA&amp;M is expected to be non-empty</w:t>
      </w:r>
      <w:r>
        <w:t xml:space="preserve"> </w:t>
      </w:r>
      <w:r>
        <w:t xml:space="preserve">once the 27 not-yet-mapped CR26 indicators are reconciled (see</w:t>
      </w:r>
      <w:r>
        <w:t xml:space="preserve"> </w:t>
      </w:r>
      <w:r>
        <w:rPr>
          <w:rStyle w:val="VerbatimChar"/>
        </w:rPr>
        <w:t xml:space="preserve">Compliance_CR26_Reconciliation.md</w:t>
      </w:r>
      <w:r>
        <w:t xml:space="preserve">) and assessed. These results are advisory pending</w:t>
      </w:r>
      <w:r>
        <w:t xml:space="preserve"> </w:t>
      </w:r>
      <w:r>
        <w:t xml:space="preserve">independent security control assessment (SCA). The OSCAL</w:t>
      </w:r>
      <w:r>
        <w:t xml:space="preserve"> </w:t>
      </w:r>
      <w:r>
        <w:t xml:space="preserve">Assessment Results (AR) document is the machine-readable CA-2 deliverable.</w:t>
      </w:r>
    </w:p>
    <w:p>
      <w:pPr>
        <w:pStyle w:val="BodyText"/>
      </w:pPr>
      <w:r>
        <w:t xml:space="preserve">The authoritative closure-necessity view of these rules — which of the 29 KSIs</w:t>
      </w:r>
      <w:r>
        <w:t xml:space="preserve"> </w:t>
      </w:r>
      <w:r>
        <w:t xml:space="preserve">are attestable by conformance tooling alone, and which close only because a</w:t>
      </w:r>
      <w:r>
        <w:t xml:space="preserve"> </w:t>
      </w:r>
      <w:r>
        <w:t xml:space="preserve">series book built the evidence slot behind them — lives in Vol 0 Book 00, in the</w:t>
      </w:r>
      <w:r>
        <w:t xml:space="preserve"> </w:t>
      </w:r>
      <w:r>
        <w:t xml:space="preserve">section</w:t>
      </w:r>
      <w:r>
        <w:t xml:space="preserve"> </w:t>
      </w:r>
      <w:r>
        <w:t xml:space="preserve">“The KSI Closure Necessity Matrix.”</w:t>
      </w:r>
      <w:r>
        <w:t xml:space="preserve"> </w:t>
      </w:r>
      <w:r>
        <w:t xml:space="preserve">This book deliberately does not</w:t>
      </w:r>
      <w:r>
        <w:t xml:space="preserve"> </w:t>
      </w:r>
      <w:r>
        <w:t xml:space="preserve">restate that matrix. What it carries is the evidence procedure layer: how each</w:t>
      </w:r>
      <w:r>
        <w:t xml:space="preserve"> </w:t>
      </w:r>
      <w:r>
        <w:t xml:space="preserve">slot’s artifacts are generated, refreshed on the ConMon cadence, and assembled</w:t>
      </w:r>
      <w:r>
        <w:t xml:space="preserve"> </w:t>
      </w:r>
      <w:r>
        <w:t xml:space="preserve">into the authorization package.</w:t>
      </w:r>
    </w:p>
    <w:p>
      <w:pPr>
        <w:pStyle w:val="BodyText"/>
      </w:pPr>
      <w:r>
        <w:t xml:space="preserve">} GCC Moderate. Top tier: Authorization Package presented to the Agency Authorizing Official (agency RMF ATO) with System Security Plan (SSP), Security Assessment Report (SAR), Plan of Action and Milestones (POA&amp;M), and Authorization Decision (Agency ATO). Second tier: OSCAL Machine-Readable Bundle — AP (Assessment Plan, 10 themes, 29 internal KSI rules), AR (Assessment Results, 29 findings, 0 open in the internal rule set — self-assessed pending CR26 reconciliation and independent SCA, 8 evidence slots), POA&amp;M (0 items in the internal rule set, expected non-empty after CR26 mapping and SCA). Third tier: Compliance Evidence Layer — the twenty-two content books (Volumes I–IV) providing infrastructure, security, governance, and training artifacts. Bottom tier: Continuous Monitoring Program — monthly OSCAL AR refresh, quarterly KSI review, annual full assessment, and ConMon dashboard via Sentinel.” width=</w:t>
      </w:r>
      <w:r>
        <w:t xml:space="preserve">“100%”</w:t>
      </w:r>
      <w:r>
        <w:t xml:space="preserve">}</w:t>
      </w:r>
    </w:p>
    <w:p>
      <w:r>
        <w:pict>
          <v:rect style="width:0;height:1.5pt" o:hralign="center" o:hrstd="t" o:hr="t"/>
        </w:pict>
      </w:r>
    </w:p>
    <w:bookmarkEnd w:id="12"/>
    <w:bookmarkEnd w:id="13"/>
    <w:bookmarkStart w:id="19" w:name="X7d46b70c40397f6c0118ffafaf8fcea05c8cc2a"/>
    <w:p>
      <w:pPr>
        <w:pStyle w:val="Heading1"/>
      </w:pPr>
      <w:r>
        <w:t xml:space="preserve">3. 2 OSCAL Bundle — Machine-Readable KSI Evidence (CA-2, CA-5)</w:t>
      </w:r>
    </w:p>
    <w:bookmarkStart w:id="14" w:name="bundle-architecture"/>
    <w:p>
      <w:pPr>
        <w:pStyle w:val="Heading2"/>
      </w:pPr>
      <w:r>
        <w:t xml:space="preserve">3.1 2.1 Bundle Architecture</w:t>
      </w:r>
    </w:p>
    <w:p>
      <w:pPr>
        <w:pStyle w:val="FirstParagraph"/>
      </w:pPr>
      <w:r>
        <w:t xml:space="preserve">The</w:t>
      </w:r>
      <w:r>
        <w:t xml:space="preserve"> </w:t>
      </w:r>
      <w:r>
        <w:rPr>
          <w:rStyle w:val="VerbatimChar"/>
        </w:rPr>
        <w:t xml:space="preserve">&lt;engine&gt; oscal bundle</w:t>
      </w:r>
      <w:r>
        <w:t xml:space="preserve"> </w:t>
      </w:r>
      <w:r>
        <w:t xml:space="preserve">command generates three interlinked OSCAL 1.0.4 documents</w:t>
      </w:r>
      <w:r>
        <w:t xml:space="preserve"> </w:t>
      </w:r>
      <w:r>
        <w:t xml:space="preserve">that constitute the machine-readable KSI evidence package:</w:t>
      </w:r>
    </w:p>
    <w:p>
      <w:pPr>
        <w:pStyle w:val="TableCaption"/>
      </w:pPr>
      <w:r>
        <w:t xml:space="preserve">OSCAL Bundle Documents</w:t>
      </w:r>
    </w:p>
    <w:tbl>
      <w:tblPr>
        <w:tblStyle w:val="Table"/>
        <w:tblW w:type="pct" w:w="5000"/>
        <w:tblLayout w:type="fixed"/>
        <w:tblLook w:firstRow="1" w:lastRow="0" w:firstColumn="0" w:lastColumn="0" w:noHBand="0" w:noVBand="0" w:val="0020"/>
        <w:tblCaption w:val="OSCAL Bundle Documents"/>
      </w:tblPr>
      <w:tblGrid>
        <w:gridCol w:w="2084"/>
        <w:gridCol w:w="1250"/>
        <w:gridCol w:w="2709"/>
        <w:gridCol w:w="1875"/>
      </w:tblGrid>
      <w:tr>
        <w:trPr>
          <w:tblHeader w:val="on"/>
        </w:trPr>
        <w:tc>
          <w:tcPr/>
          <w:p>
            <w:pPr>
              <w:pStyle w:val="Compact"/>
            </w:pPr>
            <w:r>
              <w:t xml:space="preserve">Document</w:t>
            </w:r>
          </w:p>
        </w:tc>
        <w:tc>
          <w:tcPr/>
          <w:p>
            <w:pPr>
              <w:pStyle w:val="Compact"/>
            </w:pPr>
            <w:r>
              <w:t xml:space="preserve">File</w:t>
            </w:r>
          </w:p>
        </w:tc>
        <w:tc>
          <w:tcPr/>
          <w:p>
            <w:pPr>
              <w:pStyle w:val="Compact"/>
            </w:pPr>
            <w:r>
              <w:t xml:space="preserve">NIST Control</w:t>
            </w:r>
          </w:p>
        </w:tc>
        <w:tc>
          <w:tcPr/>
          <w:p>
            <w:pPr>
              <w:pStyle w:val="Compact"/>
            </w:pPr>
            <w:r>
              <w:t xml:space="preserve">Purpose</w:t>
            </w:r>
          </w:p>
        </w:tc>
      </w:tr>
      <w:tr>
        <w:tc>
          <w:tcPr/>
          <w:p>
            <w:pPr>
              <w:pStyle w:val="Compact"/>
            </w:pPr>
            <w:r>
              <w:t xml:space="preserve">Assessment Plan (AP)</w:t>
            </w:r>
          </w:p>
        </w:tc>
        <w:tc>
          <w:tcPr/>
          <w:p>
            <w:pPr>
              <w:pStyle w:val="Compact"/>
            </w:pPr>
            <w:r>
              <w:rPr>
                <w:rStyle w:val="VerbatimChar"/>
              </w:rPr>
              <w:t xml:space="preserve">ksi-ap.json</w:t>
            </w:r>
          </w:p>
        </w:tc>
        <w:tc>
          <w:tcPr/>
          <w:p>
            <w:pPr>
              <w:pStyle w:val="Compact"/>
            </w:pPr>
            <w:r>
              <w:t xml:space="preserve">CA-2</w:t>
            </w:r>
          </w:p>
        </w:tc>
        <w:tc>
          <w:tcPr/>
          <w:p>
            <w:pPr>
              <w:pStyle w:val="Compact"/>
            </w:pPr>
            <w:r>
              <w:t xml:space="preserve">Documents what was assessed, which controls, and by which method</w:t>
            </w:r>
          </w:p>
        </w:tc>
      </w:tr>
      <w:tr>
        <w:tc>
          <w:tcPr/>
          <w:p>
            <w:pPr>
              <w:pStyle w:val="Compact"/>
            </w:pPr>
            <w:r>
              <w:t xml:space="preserve">Assessment Results (AR)</w:t>
            </w:r>
          </w:p>
        </w:tc>
        <w:tc>
          <w:tcPr/>
          <w:p>
            <w:pPr>
              <w:pStyle w:val="Compact"/>
            </w:pPr>
            <w:r>
              <w:rPr>
                <w:rStyle w:val="VerbatimChar"/>
              </w:rPr>
              <w:t xml:space="preserve">ksi-ar.json</w:t>
            </w:r>
          </w:p>
        </w:tc>
        <w:tc>
          <w:tcPr/>
          <w:p>
            <w:pPr>
              <w:pStyle w:val="Compact"/>
            </w:pPr>
            <w:r>
              <w:t xml:space="preserve">CA-2, RA-3</w:t>
            </w:r>
          </w:p>
        </w:tc>
        <w:tc>
          <w:tcPr/>
          <w:p>
            <w:pPr>
              <w:pStyle w:val="Compact"/>
            </w:pPr>
            <w:r>
              <w:t xml:space="preserve">Records findings, verdicts, and risks for all 29 KSIs</w:t>
            </w:r>
          </w:p>
        </w:tc>
      </w:tr>
      <w:tr>
        <w:tc>
          <w:tcPr/>
          <w:p>
            <w:pPr>
              <w:pStyle w:val="Compact"/>
            </w:pPr>
            <w:r>
              <w:t xml:space="preserve">Plan of Action and Milestones (POA&amp;M)</w:t>
            </w:r>
          </w:p>
        </w:tc>
        <w:tc>
          <w:tcPr/>
          <w:p>
            <w:pPr>
              <w:pStyle w:val="Compact"/>
            </w:pPr>
            <w:r>
              <w:rPr>
                <w:rStyle w:val="VerbatimChar"/>
              </w:rPr>
              <w:t xml:space="preserve">ksi-poam.json</w:t>
            </w:r>
          </w:p>
        </w:tc>
        <w:tc>
          <w:tcPr/>
          <w:p>
            <w:pPr>
              <w:pStyle w:val="Compact"/>
            </w:pPr>
            <w:r>
              <w:t xml:space="preserve">CA-5</w:t>
            </w:r>
          </w:p>
        </w:tc>
        <w:tc>
          <w:tcPr/>
          <w:p>
            <w:pPr>
              <w:pStyle w:val="Compact"/>
            </w:pPr>
            <w:r>
              <w:t xml:space="preserve">Lists open findings and remediation milestones (zero items currently)</w:t>
            </w:r>
          </w:p>
        </w:tc>
      </w:tr>
    </w:tbl>
    <w:p>
      <w:pPr>
        <w:pStyle w:val="BodyText"/>
      </w:pPr>
      <w:r>
        <w:t xml:space="preserve">The three documents are linked by UUID reference:</w:t>
      </w:r>
    </w:p>
    <w:p>
      <w:pPr>
        <w:pStyle w:val="Compact"/>
        <w:numPr>
          <w:ilvl w:val="0"/>
          <w:numId w:val="1002"/>
        </w:numPr>
      </w:pPr>
      <w:r>
        <w:t xml:space="preserve">The AP specifies what was planned (</w:t>
      </w:r>
      <w:r>
        <w:rPr>
          <w:rStyle w:val="VerbatimChar"/>
        </w:rPr>
        <w:t xml:space="preserve">assessment-plan.uuid</w:t>
      </w:r>
      <w:r>
        <w:t xml:space="preserve">)</w:t>
      </w:r>
    </w:p>
    <w:p>
      <w:pPr>
        <w:pStyle w:val="Compact"/>
        <w:numPr>
          <w:ilvl w:val="0"/>
          <w:numId w:val="1002"/>
        </w:numPr>
      </w:pPr>
      <w:r>
        <w:t xml:space="preserve">The AR imports the AP (</w:t>
      </w:r>
      <w:r>
        <w:rPr>
          <w:rStyle w:val="VerbatimChar"/>
        </w:rPr>
        <w:t xml:space="preserve">import-ap.href = "#&lt;ap-uuid&gt;"</w:t>
      </w:r>
      <w:r>
        <w:t xml:space="preserve">) and records results</w:t>
      </w:r>
    </w:p>
    <w:p>
      <w:pPr>
        <w:pStyle w:val="Compact"/>
        <w:numPr>
          <w:ilvl w:val="0"/>
          <w:numId w:val="1002"/>
        </w:numPr>
      </w:pPr>
      <w:r>
        <w:t xml:space="preserve">The POA&amp;M imports the AP (</w:t>
      </w:r>
      <w:r>
        <w:rPr>
          <w:rStyle w:val="VerbatimChar"/>
        </w:rPr>
        <w:t xml:space="preserve">import-ap.href = "#&lt;ap-uuid&gt;"</w:t>
      </w:r>
      <w:r>
        <w:t xml:space="preserve">) and references AR observations</w:t>
      </w:r>
    </w:p>
    <w:bookmarkEnd w:id="14"/>
    <w:bookmarkStart w:id="15" w:name="generating-the-bundle"/>
    <w:p>
      <w:pPr>
        <w:pStyle w:val="Heading2"/>
      </w:pPr>
      <w:r>
        <w:t xml:space="preserve">3.2 2.2 Generating the Bundle</w:t>
      </w:r>
    </w:p>
    <w:p>
      <w:pPr>
        <w:pStyle w:val="SourceCode"/>
      </w:pPr>
      <w:r>
        <w:rPr>
          <w:rStyle w:val="CommentTok"/>
        </w:rPr>
        <w:t xml:space="preserve"># Generate AP + AR + POA&amp;M for the Agency GCC Moderate boundary</w:t>
      </w:r>
      <w:r>
        <w:br/>
      </w:r>
      <w:r>
        <w:rPr>
          <w:rStyle w:val="OperatorTok"/>
        </w:rPr>
        <w:t xml:space="preserve">&lt;</w:t>
      </w:r>
      <w:r>
        <w:rPr>
          <w:rStyle w:val="NormalTok"/>
        </w:rPr>
        <w:t xml:space="preserve">engine</w:t>
      </w:r>
      <w:r>
        <w:rPr>
          <w:rStyle w:val="OperatorTok"/>
        </w:rPr>
        <w:t xml:space="preserve">&gt;</w:t>
      </w:r>
      <w:r>
        <w:rPr>
          <w:rStyle w:val="NormalTok"/>
        </w:rPr>
        <w:t xml:space="preserve"> oscal </w:t>
      </w:r>
      <w:r>
        <w:rPr>
          <w:rStyle w:val="ExtensionTok"/>
        </w:rPr>
        <w:t xml:space="preserve">bundle</w:t>
      </w:r>
      <w:r>
        <w:rPr>
          <w:rStyle w:val="NormalTok"/>
        </w:rPr>
        <w:t xml:space="preserve"> </w:t>
      </w:r>
      <w:r>
        <w:rPr>
          <w:rStyle w:val="DataTypeTok"/>
        </w:rPr>
        <w:t xml:space="preserve">\</w:t>
      </w:r>
      <w:r>
        <w:br/>
      </w:r>
      <w:r>
        <w:rPr>
          <w:rStyle w:val="NormalTok"/>
        </w:rPr>
        <w:t xml:space="preserve"> </w:t>
      </w:r>
      <w:r>
        <w:rPr>
          <w:rStyle w:val="AttributeTok"/>
        </w:rPr>
        <w:t xml:space="preserve">--system-name</w:t>
      </w:r>
      <w:r>
        <w:rPr>
          <w:rStyle w:val="NormalTok"/>
        </w:rPr>
        <w:t xml:space="preserve"> </w:t>
      </w:r>
      <w:r>
        <w:rPr>
          <w:rStyle w:val="StringTok"/>
        </w:rPr>
        <w:t xml:space="preserve">"Agency GCC Moderate"</w:t>
      </w:r>
      <w:r>
        <w:rPr>
          <w:rStyle w:val="NormalTok"/>
        </w:rPr>
        <w:t xml:space="preserve"> </w:t>
      </w:r>
      <w:r>
        <w:rPr>
          <w:rStyle w:val="DataTypeTok"/>
        </w:rPr>
        <w:t xml:space="preserve">\</w:t>
      </w:r>
      <w:r>
        <w:br/>
      </w:r>
      <w:r>
        <w:rPr>
          <w:rStyle w:val="NormalTok"/>
        </w:rPr>
        <w:t xml:space="preserve"> </w:t>
      </w:r>
      <w:r>
        <w:rPr>
          <w:rStyle w:val="AttributeTok"/>
        </w:rPr>
        <w:t xml:space="preserve">--output-dir</w:t>
      </w:r>
      <w:r>
        <w:rPr>
          <w:rStyle w:val="NormalTok"/>
        </w:rPr>
        <w:t xml:space="preserve"> output/artifacts/ksi-bundle</w:t>
      </w:r>
      <w:r>
        <w:br/>
      </w:r>
      <w:r>
        <w:br/>
      </w:r>
      <w:r>
        <w:rPr>
          <w:rStyle w:val="CommentTok"/>
        </w:rPr>
        <w:t xml:space="preserve"># Output:</w:t>
      </w:r>
      <w:r>
        <w:br/>
      </w:r>
      <w:r>
        <w:rPr>
          <w:rStyle w:val="CommentTok"/>
        </w:rPr>
        <w:t xml:space="preserve"># output/artifacts/ksi-bundle/ksi-ap.json</w:t>
      </w:r>
      <w:r>
        <w:br/>
      </w:r>
      <w:r>
        <w:rPr>
          <w:rStyle w:val="CommentTok"/>
        </w:rPr>
        <w:t xml:space="preserve"># output/artifacts/ksi-bundle/ksi-ar.json</w:t>
      </w:r>
      <w:r>
        <w:br/>
      </w:r>
      <w:r>
        <w:rPr>
          <w:rStyle w:val="CommentTok"/>
        </w:rPr>
        <w:t xml:space="preserve"># output/artifacts/ksi-bundle/ksi-poam.json</w:t>
      </w:r>
      <w:r>
        <w:br/>
      </w:r>
      <w:r>
        <w:rPr>
          <w:rStyle w:val="CommentTok"/>
        </w:rPr>
        <w:t xml:space="preserve"># output/artifacts/ksi-bundle/artifact-index.json</w:t>
      </w:r>
    </w:p>
    <w:p>
      <w:pPr>
        <w:pStyle w:val="FirstParagraph"/>
      </w:pPr>
      <w:r>
        <w:t xml:space="preserve">The bundle is regenerated as part of ConMon cadence — monthly for ongoing</w:t>
      </w:r>
      <w:r>
        <w:t xml:space="preserve"> </w:t>
      </w:r>
      <w:r>
        <w:t xml:space="preserve">monitoring, and on-demand for the authorization package assembly.</w:t>
      </w:r>
    </w:p>
    <w:bookmarkEnd w:id="15"/>
    <w:bookmarkStart w:id="16" w:name="assessment-plan-structure"/>
    <w:p>
      <w:pPr>
        <w:pStyle w:val="Heading2"/>
      </w:pPr>
      <w:r>
        <w:t xml:space="preserve">3.3 2.3 Assessment Plan Structure</w:t>
      </w:r>
    </w:p>
    <w:p>
      <w:pPr>
        <w:pStyle w:val="FirstParagraph"/>
      </w:pPr>
      <w:r>
        <w:t xml:space="preserve">The AP is organized around the ten KSI themes from FedRAMP 20x:</w:t>
      </w:r>
    </w:p>
    <w:p>
      <w:pPr>
        <w:pStyle w:val="TableCaption"/>
      </w:pPr>
      <w:r>
        <w:t xml:space="preserve">KSI Themes and Evidence Slots</w:t>
      </w:r>
    </w:p>
    <w:tbl>
      <w:tblPr>
        <w:tblStyle w:val="Table"/>
        <w:tblW w:type="pct" w:w="5000"/>
        <w:tblLayout w:type="fixed"/>
        <w:tblLook w:firstRow="1" w:lastRow="0" w:firstColumn="0" w:lastColumn="0" w:noHBand="0" w:noVBand="0" w:val="0020"/>
        <w:tblCaption w:val="KSI Themes and Evidence Slots"/>
      </w:tblPr>
      <w:tblGrid>
        <w:gridCol w:w="1584"/>
        <w:gridCol w:w="2489"/>
        <w:gridCol w:w="3846"/>
      </w:tblGrid>
      <w:tr>
        <w:trPr>
          <w:tblHeader w:val="on"/>
        </w:trPr>
        <w:tc>
          <w:tcPr/>
          <w:p>
            <w:pPr>
              <w:pStyle w:val="Compact"/>
            </w:pPr>
            <w:r>
              <w:t xml:space="preserve">Theme</w:t>
            </w:r>
          </w:p>
        </w:tc>
        <w:tc>
          <w:tcPr/>
          <w:p>
            <w:pPr>
              <w:pStyle w:val="Compact"/>
            </w:pPr>
            <w:r>
              <w:t xml:space="preserve">KSI Rules</w:t>
            </w:r>
          </w:p>
        </w:tc>
        <w:tc>
          <w:tcPr/>
          <w:p>
            <w:pPr>
              <w:pStyle w:val="Compact"/>
            </w:pPr>
            <w:r>
              <w:t xml:space="preserve">Evidence Slot(s)</w:t>
            </w:r>
          </w:p>
        </w:tc>
      </w:tr>
      <w:tr>
        <w:tc>
          <w:tcPr/>
          <w:p>
            <w:pPr>
              <w:pStyle w:val="Compact"/>
            </w:pPr>
            <w:r>
              <w:t xml:space="preserve">KSI-IAM</w:t>
            </w:r>
          </w:p>
        </w:tc>
        <w:tc>
          <w:tcPr/>
          <w:p>
            <w:pPr>
              <w:pStyle w:val="Compact"/>
            </w:pPr>
            <w:r>
              <w:t xml:space="preserve">KSI-001, KSI-002, KSI-003, KSI-009</w:t>
            </w:r>
          </w:p>
        </w:tc>
        <w:tc>
          <w:tcPr/>
          <w:p>
            <w:pPr>
              <w:pStyle w:val="Compact"/>
            </w:pPr>
            <w:r>
              <w:t xml:space="preserve">slot-01 identity; ScuBA</w:t>
            </w:r>
          </w:p>
        </w:tc>
      </w:tr>
      <w:tr>
        <w:tc>
          <w:tcPr/>
          <w:p>
            <w:pPr>
              <w:pStyle w:val="Compact"/>
            </w:pPr>
            <w:r>
              <w:t xml:space="preserve">KSI-SVC</w:t>
            </w:r>
          </w:p>
        </w:tc>
        <w:tc>
          <w:tcPr/>
          <w:p>
            <w:pPr>
              <w:pStyle w:val="Compact"/>
            </w:pPr>
            <w:r>
              <w:t xml:space="preserve">KSI-004, KSI-007, KSI-008</w:t>
            </w:r>
          </w:p>
        </w:tc>
        <w:tc>
          <w:tcPr/>
          <w:p>
            <w:pPr>
              <w:pStyle w:val="Compact"/>
            </w:pPr>
            <w:r>
              <w:t xml:space="preserve">slot-03/04; ScuBA</w:t>
            </w:r>
          </w:p>
        </w:tc>
      </w:tr>
      <w:tr>
        <w:tc>
          <w:tcPr/>
          <w:p>
            <w:pPr>
              <w:pStyle w:val="Compact"/>
            </w:pPr>
            <w:r>
              <w:t xml:space="preserve">KSI-CNA</w:t>
            </w:r>
          </w:p>
        </w:tc>
        <w:tc>
          <w:tcPr/>
          <w:p>
            <w:pPr>
              <w:pStyle w:val="Compact"/>
            </w:pPr>
            <w:r>
              <w:t xml:space="preserve">KSI-008</w:t>
            </w:r>
          </w:p>
        </w:tc>
        <w:tc>
          <w:tcPr/>
          <w:p>
            <w:pPr>
              <w:pStyle w:val="Compact"/>
            </w:pPr>
            <w:r>
              <w:t xml:space="preserve">slot-03; ScuBA</w:t>
            </w:r>
          </w:p>
        </w:tc>
      </w:tr>
      <w:tr>
        <w:tc>
          <w:tcPr/>
          <w:p>
            <w:pPr>
              <w:pStyle w:val="Compact"/>
            </w:pPr>
            <w:r>
              <w:t xml:space="preserve">KSI-MLA</w:t>
            </w:r>
          </w:p>
        </w:tc>
        <w:tc>
          <w:tcPr/>
          <w:p>
            <w:pPr>
              <w:pStyle w:val="Compact"/>
            </w:pPr>
            <w:r>
              <w:t xml:space="preserve">KSI-005, KSI-006, KSI-010</w:t>
            </w:r>
          </w:p>
        </w:tc>
        <w:tc>
          <w:tcPr/>
          <w:p>
            <w:pPr>
              <w:pStyle w:val="Compact"/>
            </w:pPr>
            <w:r>
              <w:t xml:space="preserve">slot-02/04; ScuBA</w:t>
            </w:r>
          </w:p>
        </w:tc>
      </w:tr>
      <w:tr>
        <w:tc>
          <w:tcPr/>
          <w:p>
            <w:pPr>
              <w:pStyle w:val="Compact"/>
            </w:pPr>
            <w:r>
              <w:t xml:space="preserve">KSI-CMT</w:t>
            </w:r>
          </w:p>
        </w:tc>
        <w:tc>
          <w:tcPr/>
          <w:p>
            <w:pPr>
              <w:pStyle w:val="Compact"/>
            </w:pPr>
            <w:r>
              <w:t xml:space="preserve">KSI-011–014</w:t>
            </w:r>
          </w:p>
        </w:tc>
        <w:tc>
          <w:tcPr/>
          <w:p>
            <w:pPr>
              <w:pStyle w:val="Compact"/>
            </w:pPr>
            <w:r>
              <w:t xml:space="preserve">slot-06 security</w:t>
            </w:r>
          </w:p>
        </w:tc>
      </w:tr>
      <w:tr>
        <w:tc>
          <w:tcPr/>
          <w:p>
            <w:pPr>
              <w:pStyle w:val="Compact"/>
            </w:pPr>
            <w:r>
              <w:t xml:space="preserve">KSI-SCR</w:t>
            </w:r>
          </w:p>
        </w:tc>
        <w:tc>
          <w:tcPr/>
          <w:p>
            <w:pPr>
              <w:pStyle w:val="Compact"/>
            </w:pPr>
            <w:r>
              <w:t xml:space="preserve">KSI-015, KSI-016</w:t>
            </w:r>
          </w:p>
        </w:tc>
        <w:tc>
          <w:tcPr/>
          <w:p>
            <w:pPr>
              <w:pStyle w:val="Compact"/>
            </w:pPr>
            <w:r>
              <w:t xml:space="preserve">slot-06 security</w:t>
            </w:r>
          </w:p>
        </w:tc>
      </w:tr>
      <w:tr>
        <w:tc>
          <w:tcPr/>
          <w:p>
            <w:pPr>
              <w:pStyle w:val="Compact"/>
            </w:pPr>
            <w:r>
              <w:t xml:space="preserve">KSI-PIY</w:t>
            </w:r>
          </w:p>
        </w:tc>
        <w:tc>
          <w:tcPr/>
          <w:p>
            <w:pPr>
              <w:pStyle w:val="Compact"/>
            </w:pPr>
            <w:r>
              <w:t xml:space="preserve">KSI-017–021</w:t>
            </w:r>
          </w:p>
        </w:tc>
        <w:tc>
          <w:tcPr/>
          <w:p>
            <w:pPr>
              <w:pStyle w:val="Compact"/>
            </w:pPr>
            <w:r>
              <w:t xml:space="preserve">slot-05 endpoint</w:t>
            </w:r>
          </w:p>
        </w:tc>
      </w:tr>
      <w:tr>
        <w:tc>
          <w:tcPr/>
          <w:p>
            <w:pPr>
              <w:pStyle w:val="Compact"/>
            </w:pPr>
            <w:r>
              <w:t xml:space="preserve">KSI-INR</w:t>
            </w:r>
          </w:p>
        </w:tc>
        <w:tc>
          <w:tcPr/>
          <w:p>
            <w:pPr>
              <w:pStyle w:val="Compact"/>
            </w:pPr>
            <w:r>
              <w:t xml:space="preserve">KSI-023–025</w:t>
            </w:r>
          </w:p>
        </w:tc>
        <w:tc>
          <w:tcPr/>
          <w:p>
            <w:pPr>
              <w:pStyle w:val="Compact"/>
            </w:pPr>
            <w:r>
              <w:t xml:space="preserve">slot-04/07</w:t>
            </w:r>
          </w:p>
        </w:tc>
      </w:tr>
      <w:tr>
        <w:tc>
          <w:tcPr/>
          <w:p>
            <w:pPr>
              <w:pStyle w:val="Compact"/>
            </w:pPr>
            <w:r>
              <w:t xml:space="preserve">KSI-RPL</w:t>
            </w:r>
          </w:p>
        </w:tc>
        <w:tc>
          <w:tcPr/>
          <w:p>
            <w:pPr>
              <w:pStyle w:val="Compact"/>
            </w:pPr>
            <w:r>
              <w:t xml:space="preserve">KSI-026–029</w:t>
            </w:r>
          </w:p>
        </w:tc>
        <w:tc>
          <w:tcPr/>
          <w:p>
            <w:pPr>
              <w:pStyle w:val="Compact"/>
            </w:pPr>
            <w:r>
              <w:t xml:space="preserve">slot-07 continuity</w:t>
            </w:r>
          </w:p>
        </w:tc>
      </w:tr>
      <w:tr>
        <w:tc>
          <w:tcPr/>
          <w:p>
            <w:pPr>
              <w:pStyle w:val="Compact"/>
            </w:pPr>
            <w:r>
              <w:t xml:space="preserve">KSI-CED</w:t>
            </w:r>
          </w:p>
        </w:tc>
        <w:tc>
          <w:tcPr/>
          <w:p>
            <w:pPr>
              <w:pStyle w:val="Compact"/>
            </w:pPr>
            <w:r>
              <w:t xml:space="preserve">KSI-022</w:t>
            </w:r>
          </w:p>
        </w:tc>
        <w:tc>
          <w:tcPr/>
          <w:p>
            <w:pPr>
              <w:pStyle w:val="Compact"/>
            </w:pPr>
            <w:r>
              <w:t xml:space="preserve">slot-08 training</w:t>
            </w:r>
          </w:p>
        </w:tc>
      </w:tr>
    </w:tbl>
    <w:bookmarkEnd w:id="16"/>
    <w:bookmarkStart w:id="17" w:name="assessment-results-finding-structure"/>
    <w:p>
      <w:pPr>
        <w:pStyle w:val="Heading2"/>
      </w:pPr>
      <w:r>
        <w:t xml:space="preserve">3.4 2.4 Assessment Results — Finding Structure</w:t>
      </w:r>
    </w:p>
    <w:p>
      <w:pPr>
        <w:pStyle w:val="FirstParagraph"/>
      </w:pPr>
      <w:r>
        <w:t xml:space="preserve">Each of the 29 findings in the AR carries:</w:t>
      </w:r>
    </w:p>
    <w:p>
      <w:pPr>
        <w:pStyle w:val="Compact"/>
        <w:numPr>
          <w:ilvl w:val="0"/>
          <w:numId w:val="1003"/>
        </w:numPr>
      </w:pPr>
      <w:r>
        <w:rPr>
          <w:b/>
          <w:bCs/>
        </w:rPr>
        <w:t xml:space="preserve">target.status.state</w:t>
      </w:r>
      <w:r>
        <w:t xml:space="preserve">:</w:t>
      </w:r>
      <w:r>
        <w:t xml:space="preserve"> </w:t>
      </w:r>
      <w:r>
        <w:rPr>
          <w:rStyle w:val="VerbatimChar"/>
        </w:rPr>
        <w:t xml:space="preserve">satisfied</w:t>
      </w:r>
      <w:r>
        <w:t xml:space="preserve"> </w:t>
      </w:r>
      <w:r>
        <w:t xml:space="preserve">/</w:t>
      </w:r>
      <w:r>
        <w:t xml:space="preserve"> </w:t>
      </w:r>
      <w:r>
        <w:rPr>
          <w:rStyle w:val="VerbatimChar"/>
        </w:rPr>
        <w:t xml:space="preserve">not-satisfied</w:t>
      </w:r>
      <w:r>
        <w:t xml:space="preserve"> </w:t>
      </w:r>
      <w:r>
        <w:t xml:space="preserve">/</w:t>
      </w:r>
      <w:r>
        <w:t xml:space="preserve"> </w:t>
      </w:r>
      <w:r>
        <w:rPr>
          <w:rStyle w:val="VerbatimChar"/>
        </w:rPr>
        <w:t xml:space="preserve">other</w:t>
      </w:r>
    </w:p>
    <w:p>
      <w:pPr>
        <w:pStyle w:val="Compact"/>
        <w:numPr>
          <w:ilvl w:val="0"/>
          <w:numId w:val="1003"/>
        </w:numPr>
      </w:pPr>
      <w:r>
        <w:rPr>
          <w:b/>
          <w:bCs/>
        </w:rPr>
        <w:t xml:space="preserve">props</w:t>
      </w:r>
      <w:r>
        <w:t xml:space="preserve">:</w:t>
      </w:r>
      <w:r>
        <w:t xml:space="preserve"> </w:t>
      </w:r>
      <w:r>
        <w:rPr>
          <w:rStyle w:val="VerbatimChar"/>
        </w:rPr>
        <w:t xml:space="preserve">ksi-id</w:t>
      </w:r>
      <w:r>
        <w:t xml:space="preserve">,</w:t>
      </w:r>
      <w:r>
        <w:t xml:space="preserve"> </w:t>
      </w:r>
      <w:r>
        <w:rPr>
          <w:rStyle w:val="VerbatimChar"/>
        </w:rPr>
        <w:t xml:space="preserve">verdict</w:t>
      </w:r>
      <w:r>
        <w:t xml:space="preserve">,</w:t>
      </w:r>
      <w:r>
        <w:t xml:space="preserve"> </w:t>
      </w:r>
      <w:r>
        <w:rPr>
          <w:rStyle w:val="VerbatimChar"/>
        </w:rPr>
        <w:t xml:space="preserve">cr26-control</w:t>
      </w:r>
      <w:r>
        <w:t xml:space="preserve">,</w:t>
      </w:r>
      <w:r>
        <w:t xml:space="preserve"> </w:t>
      </w:r>
      <w:r>
        <w:rPr>
          <w:rStyle w:val="VerbatimChar"/>
        </w:rPr>
        <w:t xml:space="preserve">mapping-confidence</w:t>
      </w:r>
    </w:p>
    <w:p>
      <w:pPr>
        <w:pStyle w:val="Compact"/>
        <w:numPr>
          <w:ilvl w:val="0"/>
          <w:numId w:val="1003"/>
        </w:numPr>
      </w:pPr>
      <w:r>
        <w:rPr>
          <w:b/>
          <w:bCs/>
        </w:rPr>
        <w:t xml:space="preserve">observations</w:t>
      </w:r>
      <w:r>
        <w:t xml:space="preserve">: linked observation with description, artifact refs, and slot IDs</w:t>
      </w:r>
    </w:p>
    <w:p>
      <w:pPr>
        <w:pStyle w:val="Compact"/>
        <w:numPr>
          <w:ilvl w:val="0"/>
          <w:numId w:val="1003"/>
        </w:numPr>
      </w:pPr>
      <w:r>
        <w:rPr>
          <w:b/>
          <w:bCs/>
        </w:rPr>
        <w:t xml:space="preserve">risks</w:t>
      </w:r>
      <w:r>
        <w:t xml:space="preserve">: open only for</w:t>
      </w:r>
      <w:r>
        <w:t xml:space="preserve"> </w:t>
      </w:r>
      <w:r>
        <w:rPr>
          <w:rStyle w:val="VerbatimChar"/>
        </w:rPr>
        <w:t xml:space="preserve">not-satisfied</w:t>
      </w:r>
      <w:r>
        <w:t xml:space="preserve"> </w:t>
      </w:r>
      <w:r>
        <w:t xml:space="preserve">findings (zero in current run)</w:t>
      </w:r>
    </w:p>
    <w:p>
      <w:pPr>
        <w:pStyle w:val="FirstParagraph"/>
      </w:pPr>
      <w:r>
        <w:t xml:space="preserve">The AR is the machine-readable equivalent of a Security Assessment Report (SAR)</w:t>
      </w:r>
      <w:r>
        <w:t xml:space="preserve"> </w:t>
      </w:r>
      <w:r>
        <w:t xml:space="preserve">for the KSI evidence dimension. It satisfies</w:t>
      </w:r>
      <w:r>
        <w:t xml:space="preserve"> </w:t>
      </w:r>
      <w:r>
        <w:rPr>
          <w:b/>
          <w:bCs/>
        </w:rPr>
        <w:t xml:space="preserve">CA-2 (Security Assessments)</w:t>
      </w:r>
      <w:r>
        <w:t xml:space="preserve"> </w:t>
      </w:r>
      <w:r>
        <w:t xml:space="preserve">by</w:t>
      </w:r>
      <w:r>
        <w:t xml:space="preserve"> </w:t>
      </w:r>
      <w:r>
        <w:t xml:space="preserve">providing a documented, repeatable, automated assessment of all KSI controls.</w:t>
      </w:r>
    </w:p>
    <w:bookmarkEnd w:id="17"/>
    <w:bookmarkStart w:id="18" w:name="poam-status"/>
    <w:p>
      <w:pPr>
        <w:pStyle w:val="Heading2"/>
      </w:pPr>
      <w:r>
        <w:t xml:space="preserve">3.5 2.5 POA&amp;M Status</w:t>
      </w:r>
    </w:p>
    <w:p>
      <w:pPr>
        <w:pStyle w:val="FirstParagraph"/>
      </w:pPr>
      <w:r>
        <w:t xml:space="preserve">As of the July 4, 2026 bundle generation:</w:t>
      </w:r>
    </w:p>
    <w:p>
      <w:pPr>
        <w:pStyle w:val="SourceCode"/>
      </w:pPr>
      <w:r>
        <w:rPr>
          <w:rStyle w:val="VerbatimChar"/>
        </w:rPr>
        <w:t xml:space="preserve">Satisfied : 29 (all 29 internal KSI-decomposition rules)</w:t>
      </w:r>
      <w:r>
        <w:br/>
      </w:r>
      <w:r>
        <w:rPr>
          <w:rStyle w:val="VerbatimChar"/>
        </w:rPr>
        <w:t xml:space="preserve">Not-satisfied : 0</w:t>
      </w:r>
      <w:r>
        <w:br/>
      </w:r>
      <w:r>
        <w:rPr>
          <w:rStyle w:val="VerbatimChar"/>
        </w:rPr>
        <w:t xml:space="preserve">Not-evaluated : 0</w:t>
      </w:r>
      <w:r>
        <w:br/>
      </w:r>
      <w:r>
        <w:rPr>
          <w:rStyle w:val="VerbatimChar"/>
        </w:rPr>
        <w:t xml:space="preserve">Open risks : 0</w:t>
      </w:r>
      <w:r>
        <w:br/>
      </w:r>
      <w:r>
        <w:rPr>
          <w:rStyle w:val="VerbatimChar"/>
        </w:rPr>
        <w:t xml:space="preserve">POA&amp;M items : 0</w:t>
      </w:r>
    </w:p>
    <w:p>
      <w:pPr>
        <w:pStyle w:val="FirstParagraph"/>
      </w:pPr>
      <w:r>
        <w:t xml:space="preserve">A zero-item POA&amp;M is the correct target state for the self-assessment — it means</w:t>
      </w:r>
      <w:r>
        <w:t xml:space="preserve"> </w:t>
      </w:r>
      <w:r>
        <w:t xml:space="preserve">all required controls are assessed as satisfied in the current adapter run. The POA&amp;M will be regenerated after each assessment</w:t>
      </w:r>
      <w:r>
        <w:t xml:space="preserve"> </w:t>
      </w:r>
      <w:r>
        <w:t xml:space="preserve">cycle; any findings that emerge (e.g., from a training completion gap or an</w:t>
      </w:r>
      <w:r>
        <w:t xml:space="preserve"> </w:t>
      </w:r>
      <w:r>
        <w:t xml:space="preserve">unrevoked privilege) will automatically populate it via the</w:t>
      </w:r>
      <w:r>
        <w:t xml:space="preserve"> </w:t>
      </w:r>
      <w:r>
        <w:rPr>
          <w:rStyle w:val="VerbatimChar"/>
        </w:rPr>
        <w:t xml:space="preserve">_extract_ar_gaps</w:t>
      </w:r>
      <w:r>
        <w:t xml:space="preserve"> </w:t>
      </w:r>
      <w:r>
        <w:t xml:space="preserve">function.</w:t>
      </w:r>
    </w:p>
    <w:p>
      <w:r>
        <w:pict>
          <v:rect style="width:0;height:1.5pt" o:hralign="center" o:hrstd="t" o:hr="t"/>
        </w:pict>
      </w:r>
    </w:p>
    <w:bookmarkEnd w:id="18"/>
    <w:bookmarkEnd w:id="19"/>
    <w:bookmarkStart w:id="28" w:name="continuous-monitoring-program-ca-7"/>
    <w:p>
      <w:pPr>
        <w:pStyle w:val="Heading1"/>
      </w:pPr>
      <w:r>
        <w:t xml:space="preserve">4. 3 Continuous Monitoring Program (CA-7)</w:t>
      </w:r>
    </w:p>
    <w:bookmarkStart w:id="20" w:name="conmon-framework"/>
    <w:p>
      <w:pPr>
        <w:pStyle w:val="Heading2"/>
      </w:pPr>
      <w:r>
        <w:t xml:space="preserve">4.1 3.1 ConMon Framework</w:t>
      </w:r>
    </w:p>
    <w:p>
      <w:pPr>
        <w:pStyle w:val="FirstParagraph"/>
      </w:pPr>
      <w:r>
        <w:t xml:space="preserve">CA-7 requires the organization to develop and implement a continuous monitoring</w:t>
      </w:r>
      <w:r>
        <w:t xml:space="preserve"> </w:t>
      </w:r>
      <w:r>
        <w:t xml:space="preserve">strategy that includes:</w:t>
      </w:r>
    </w:p>
    <w:p>
      <w:pPr>
        <w:pStyle w:val="Compact"/>
        <w:numPr>
          <w:ilvl w:val="0"/>
          <w:numId w:val="1004"/>
        </w:numPr>
      </w:pPr>
      <w:r>
        <w:t xml:space="preserve">Metrics for monitoring control effectiveness</w:t>
      </w:r>
    </w:p>
    <w:p>
      <w:pPr>
        <w:pStyle w:val="Compact"/>
        <w:numPr>
          <w:ilvl w:val="0"/>
          <w:numId w:val="1004"/>
        </w:numPr>
      </w:pPr>
      <w:r>
        <w:t xml:space="preserve">Frequencies for monitoring, assessment, and reporting</w:t>
      </w:r>
    </w:p>
    <w:p>
      <w:pPr>
        <w:pStyle w:val="Compact"/>
        <w:numPr>
          <w:ilvl w:val="0"/>
          <w:numId w:val="1004"/>
        </w:numPr>
      </w:pPr>
      <w:r>
        <w:t xml:space="preserve">Ongoing awareness training requirements</w:t>
      </w:r>
    </w:p>
    <w:p>
      <w:pPr>
        <w:pStyle w:val="Compact"/>
        <w:numPr>
          <w:ilvl w:val="0"/>
          <w:numId w:val="1004"/>
        </w:numPr>
      </w:pPr>
      <w:r>
        <w:t xml:space="preserve">Reporting to the Authorizing Official</w:t>
      </w:r>
    </w:p>
    <w:p>
      <w:pPr>
        <w:pStyle w:val="FirstParagraph"/>
      </w:pPr>
      <w:r>
        <w:t xml:space="preserve">The Compliance series provides the evidence generation layer. The ConMon</w:t>
      </w:r>
      <w:r>
        <w:t xml:space="preserve"> </w:t>
      </w:r>
      <w:r>
        <w:t xml:space="preserve">program operationalizes it on a recurring cadence.</w:t>
      </w:r>
    </w:p>
    <w:p>
      <w:pPr>
        <w:pStyle w:val="BodyText"/>
      </w:pPr>
      <w:r>
        <w:t xml:space="preserve">} GCC Moderate FedRAMP 20x. Monthly activities (every month): OSCAL AR refresh via</w:t>
      </w:r>
      <w:r>
        <w:t xml:space="preserve"> </w:t>
      </w:r>
      <w:r>
        <w:t xml:space="preserve"> </w:t>
      </w:r>
      <w:r>
        <w:t xml:space="preserve">oscal bundle; CISA ScuBA assessment run against M365; Sentinel ConMon dashboard review; POA&amp;M status check — zero-item target. Quarterly activities (Q1/Q2/Q3/Q4): KSI evidence quality review; slot binding confidence review; training completion review for AT-4 (KSI-022); vulnerability management review for RA-5 (KSI-015/016). Semi-annual activities: IR drill (IR-2, Vol IV Book 05); Contingency plan tabletop exercise (CP-3, Vol IV Book 01); SBOM freshness review for BOD 26-04 VDR/VEX pipeline (Vol IV Book 02). Annual activities: Full KSI re-assessment; AT-2 annual security awareness training refresh; CP-2 contingency plan update; PM-14 T-and-T-and-M plan update; ATO renewal package preparation.” width=</w:t>
      </w:r>
      <w:r>
        <w:t xml:space="preserve">“100%”</w:t>
      </w:r>
      <w:r>
        <w:t xml:space="preserve">}</w:t>
      </w:r>
    </w:p>
    <w:bookmarkEnd w:id="20"/>
    <w:bookmarkStart w:id="23" w:name="monthly-conmon-activities"/>
    <w:p>
      <w:pPr>
        <w:pStyle w:val="Heading2"/>
      </w:pPr>
      <w:r>
        <w:t xml:space="preserve">4.2 3.2 Monthly ConMon Activities</w:t>
      </w:r>
    </w:p>
    <w:p>
      <w:pPr>
        <w:pStyle w:val="TableCaption"/>
      </w:pPr>
      <w:r>
        <w:t xml:space="preserve">Monthly ConMon Activity Matrix</w:t>
      </w:r>
    </w:p>
    <w:tbl>
      <w:tblPr>
        <w:tblStyle w:val="Table"/>
        <w:tblW w:type="pct" w:w="5000"/>
        <w:tblLayout w:type="fixed"/>
        <w:tblLook w:firstRow="1" w:lastRow="0" w:firstColumn="0" w:lastColumn="0" w:noHBand="0" w:noVBand="0" w:val="0020"/>
        <w:tblCaption w:val="Monthly ConMon Activity Matrix"/>
      </w:tblPr>
      <w:tblGrid>
        <w:gridCol w:w="2475"/>
        <w:gridCol w:w="1732"/>
        <w:gridCol w:w="1485"/>
        <w:gridCol w:w="2227"/>
      </w:tblGrid>
      <w:tr>
        <w:trPr>
          <w:tblHeader w:val="on"/>
        </w:trPr>
        <w:tc>
          <w:tcPr/>
          <w:p>
            <w:pPr>
              <w:pStyle w:val="Compact"/>
            </w:pPr>
            <w:r>
              <w:t xml:space="preserve">Activity</w:t>
            </w:r>
          </w:p>
        </w:tc>
        <w:tc>
          <w:tcPr/>
          <w:p>
            <w:pPr>
              <w:pStyle w:val="Compact"/>
            </w:pPr>
            <w:r>
              <w:t xml:space="preserve">Owner</w:t>
            </w:r>
          </w:p>
        </w:tc>
        <w:tc>
          <w:tcPr/>
          <w:p>
            <w:pPr>
              <w:pStyle w:val="Compact"/>
            </w:pPr>
            <w:r>
              <w:t xml:space="preserve">Tool</w:t>
            </w:r>
          </w:p>
        </w:tc>
        <w:tc>
          <w:tcPr/>
          <w:p>
            <w:pPr>
              <w:pStyle w:val="Compact"/>
            </w:pPr>
            <w:r>
              <w:t xml:space="preserve">Evidence</w:t>
            </w:r>
          </w:p>
        </w:tc>
      </w:tr>
      <w:tr>
        <w:tc>
          <w:tcPr/>
          <w:p>
            <w:pPr>
              <w:pStyle w:val="Compact"/>
            </w:pPr>
            <w:r>
              <w:t xml:space="preserve">OSCAL AR refresh</w:t>
            </w:r>
          </w:p>
        </w:tc>
        <w:tc>
          <w:tcPr/>
          <w:p>
            <w:pPr>
              <w:pStyle w:val="Compact"/>
            </w:pPr>
            <w:r>
              <w:t xml:space="preserve">ISSO</w:t>
            </w:r>
          </w:p>
        </w:tc>
        <w:tc>
          <w:tcPr/>
          <w:p>
            <w:pPr>
              <w:pStyle w:val="Compact"/>
            </w:pPr>
            <w:r>
              <w:rPr>
                <w:rStyle w:val="VerbatimChar"/>
              </w:rPr>
              <w:t xml:space="preserve">&lt;engine&gt; oscal bundle</w:t>
            </w:r>
          </w:p>
        </w:tc>
        <w:tc>
          <w:tcPr/>
          <w:p>
            <w:pPr>
              <w:pStyle w:val="Compact"/>
            </w:pPr>
            <w:r>
              <w:t xml:space="preserve">Updated</w:t>
            </w:r>
            <w:r>
              <w:t xml:space="preserve"> </w:t>
            </w:r>
            <w:r>
              <w:rPr>
                <w:rStyle w:val="VerbatimChar"/>
              </w:rPr>
              <w:t xml:space="preserve">ksi-ar.json</w:t>
            </w:r>
          </w:p>
        </w:tc>
      </w:tr>
      <w:tr>
        <w:tc>
          <w:tcPr/>
          <w:p>
            <w:pPr>
              <w:pStyle w:val="Compact"/>
            </w:pPr>
            <w:r>
              <w:t xml:space="preserve">ScuBA assessment</w:t>
            </w:r>
          </w:p>
        </w:tc>
        <w:tc>
          <w:tcPr/>
          <w:p>
            <w:pPr>
              <w:pStyle w:val="Compact"/>
            </w:pPr>
            <w:r>
              <w:t xml:space="preserve">ISSO</w:t>
            </w:r>
          </w:p>
        </w:tc>
        <w:tc>
          <w:tcPr/>
          <w:p>
            <w:pPr>
              <w:pStyle w:val="Compact"/>
            </w:pPr>
            <w:r>
              <w:t xml:space="preserve">ScuBAGear</w:t>
            </w:r>
          </w:p>
        </w:tc>
        <w:tc>
          <w:tcPr/>
          <w:p>
            <w:pPr>
              <w:pStyle w:val="Compact"/>
            </w:pPr>
            <w:r>
              <w:t xml:space="preserve">M365 baseline assessment report</w:t>
            </w:r>
          </w:p>
        </w:tc>
      </w:tr>
      <w:tr>
        <w:tc>
          <w:tcPr/>
          <w:p>
            <w:pPr>
              <w:pStyle w:val="Compact"/>
            </w:pPr>
            <w:r>
              <w:t xml:space="preserve">ScuBA drift triage + gate</w:t>
            </w:r>
          </w:p>
        </w:tc>
        <w:tc>
          <w:tcPr/>
          <w:p>
            <w:pPr>
              <w:pStyle w:val="Compact"/>
            </w:pPr>
            <w:r>
              <w:t xml:space="preserve">ISSO</w:t>
            </w:r>
          </w:p>
        </w:tc>
        <w:tc>
          <w:tcPr/>
          <w:p>
            <w:pPr>
              <w:pStyle w:val="Compact"/>
            </w:pPr>
            <w:r>
              <w:t xml:space="preserve">ScubaDrift</w:t>
            </w:r>
          </w:p>
        </w:tc>
        <w:tc>
          <w:tcPr/>
          <w:p>
            <w:pPr>
              <w:pStyle w:val="Compact"/>
            </w:pPr>
            <w:r>
              <w:rPr>
                <w:rStyle w:val="VerbatimChar"/>
              </w:rPr>
              <w:t xml:space="preserve">scubadrift-verdicts.json</w:t>
            </w:r>
            <w:r>
              <w:t xml:space="preserve"> </w:t>
            </w:r>
            <w:r>
              <w:t xml:space="preserve">(dispositions + POA&amp;M linkage)</w:t>
            </w:r>
          </w:p>
        </w:tc>
      </w:tr>
      <w:tr>
        <w:tc>
          <w:tcPr/>
          <w:p>
            <w:pPr>
              <w:pStyle w:val="Compact"/>
            </w:pPr>
            <w:r>
              <w:t xml:space="preserve">Sentinel ConMon dashboard review</w:t>
            </w:r>
          </w:p>
        </w:tc>
        <w:tc>
          <w:tcPr/>
          <w:p>
            <w:pPr>
              <w:pStyle w:val="Compact"/>
            </w:pPr>
            <w:r>
              <w:t xml:space="preserve">SOC Lead</w:t>
            </w:r>
          </w:p>
        </w:tc>
        <w:tc>
          <w:tcPr/>
          <w:p>
            <w:pPr>
              <w:pStyle w:val="Compact"/>
            </w:pPr>
            <w:r>
              <w:t xml:space="preserve">Microsoft Sentinel</w:t>
            </w:r>
          </w:p>
        </w:tc>
        <w:tc>
          <w:tcPr/>
          <w:p>
            <w:pPr>
              <w:pStyle w:val="Compact"/>
            </w:pPr>
            <w:r>
              <w:t xml:space="preserve">ConMon dashboard export</w:t>
            </w:r>
          </w:p>
        </w:tc>
      </w:tr>
      <w:tr>
        <w:tc>
          <w:tcPr/>
          <w:p>
            <w:pPr>
              <w:pStyle w:val="Compact"/>
            </w:pPr>
            <w:r>
              <w:t xml:space="preserve">POA&amp;M status review</w:t>
            </w:r>
          </w:p>
        </w:tc>
        <w:tc>
          <w:tcPr/>
          <w:p>
            <w:pPr>
              <w:pStyle w:val="Compact"/>
            </w:pPr>
            <w:r>
              <w:t xml:space="preserve">ISSO + ISSM</w:t>
            </w:r>
          </w:p>
        </w:tc>
        <w:tc>
          <w:tcPr/>
          <w:p>
            <w:pPr>
              <w:pStyle w:val="Compact"/>
            </w:pPr>
            <w:r>
              <w:rPr>
                <w:rStyle w:val="VerbatimChar"/>
              </w:rPr>
              <w:t xml:space="preserve">&lt;engine&gt; oscal bundle</w:t>
            </w:r>
          </w:p>
        </w:tc>
        <w:tc>
          <w:tcPr/>
          <w:p>
            <w:pPr>
              <w:pStyle w:val="Compact"/>
            </w:pPr>
            <w:r>
              <w:rPr>
                <w:rStyle w:val="VerbatimChar"/>
              </w:rPr>
              <w:t xml:space="preserve">ksi-poam.json</w:t>
            </w:r>
            <w:r>
              <w:t xml:space="preserve"> </w:t>
            </w:r>
            <w:r>
              <w:t xml:space="preserve">(zero-item target)</w:t>
            </w:r>
          </w:p>
        </w:tc>
      </w:tr>
      <w:tr>
        <w:tc>
          <w:tcPr/>
          <w:p>
            <w:pPr>
              <w:pStyle w:val="Compact"/>
            </w:pPr>
            <w:r>
              <w:t xml:space="preserve">Vulnerability scan</w:t>
            </w:r>
          </w:p>
        </w:tc>
        <w:tc>
          <w:tcPr/>
          <w:p>
            <w:pPr>
              <w:pStyle w:val="Compact"/>
            </w:pPr>
            <w:r>
              <w:t xml:space="preserve">Defender VM team</w:t>
            </w:r>
          </w:p>
        </w:tc>
        <w:tc>
          <w:tcPr/>
          <w:p>
            <w:pPr>
              <w:pStyle w:val="Compact"/>
            </w:pPr>
            <w:r>
              <w:t xml:space="preserve">Defender for Endpoint</w:t>
            </w:r>
          </w:p>
        </w:tc>
        <w:tc>
          <w:tcPr/>
          <w:p>
            <w:pPr>
              <w:pStyle w:val="Compact"/>
            </w:pPr>
            <w:r>
              <w:t xml:space="preserve">RA-5 scan record</w:t>
            </w:r>
          </w:p>
        </w:tc>
      </w:tr>
      <w:tr>
        <w:tc>
          <w:tcPr/>
          <w:p>
            <w:pPr>
              <w:pStyle w:val="Compact"/>
            </w:pPr>
            <w:r>
              <w:t xml:space="preserve">SBOM delta check</w:t>
            </w:r>
          </w:p>
        </w:tc>
        <w:tc>
          <w:tcPr/>
          <w:p>
            <w:pPr>
              <w:pStyle w:val="Compact"/>
            </w:pPr>
            <w:r>
              <w:t xml:space="preserve">SR team</w:t>
            </w:r>
          </w:p>
        </w:tc>
        <w:tc>
          <w:tcPr/>
          <w:p>
            <w:pPr>
              <w:pStyle w:val="Compact"/>
            </w:pPr>
            <w:r>
              <w:t xml:space="preserve">Syft + Grype</w:t>
            </w:r>
          </w:p>
        </w:tc>
        <w:tc>
          <w:tcPr/>
          <w:p>
            <w:pPr>
              <w:pStyle w:val="Compact"/>
            </w:pPr>
            <w:r>
              <w:t xml:space="preserve">CycloneDX BOM diff</w:t>
            </w:r>
          </w:p>
        </w:tc>
      </w:tr>
    </w:tbl>
    <w:bookmarkStart w:id="21" w:name="Xa1b68c0158c1f6020b92f599c0f5bae72bec36e"/>
    <w:p>
      <w:pPr>
        <w:pStyle w:val="Heading3"/>
      </w:pPr>
      <w:r>
        <w:t xml:space="preserve">4.2.1 The ScubaDrift Disposition Pipeline — Evidence Behind KSI-001..010</w:t>
      </w:r>
    </w:p>
    <w:p>
      <w:pPr>
        <w:pStyle w:val="FirstParagraph"/>
      </w:pPr>
      <w:r>
        <w:t xml:space="preserve">A point-in-time ScuBAGear report answers</w:t>
      </w:r>
      <w:r>
        <w:t xml:space="preserve"> </w:t>
      </w:r>
      <w:r>
        <w:rPr>
          <w:i/>
          <w:iCs/>
        </w:rPr>
        <w:t xml:space="preserve">“what passes today?”</w:t>
      </w:r>
      <w:r>
        <w:t xml:space="preserve"> </w:t>
      </w:r>
      <w:r>
        <w:t xml:space="preserve">It does not</w:t>
      </w:r>
      <w:r>
        <w:t xml:space="preserve"> </w:t>
      </w:r>
      <w:r>
        <w:t xml:space="preserve">answer the three questions an assessor asks next:</w:t>
      </w:r>
      <w:r>
        <w:t xml:space="preserve"> </w:t>
      </w:r>
      <w:r>
        <w:rPr>
          <w:i/>
          <w:iCs/>
        </w:rPr>
        <w:t xml:space="preserve">what changed since last</w:t>
      </w:r>
      <w:r>
        <w:rPr>
          <w:i/>
          <w:iCs/>
        </w:rPr>
        <w:t xml:space="preserve"> </w:t>
      </w:r>
      <w:r>
        <w:rPr>
          <w:i/>
          <w:iCs/>
        </w:rPr>
        <w:t xml:space="preserve">month, which failures are already governed by a documented risk acceptance,</w:t>
      </w:r>
      <w:r>
        <w:rPr>
          <w:i/>
          <w:iCs/>
        </w:rPr>
        <w:t xml:space="preserve"> </w:t>
      </w:r>
      <w:r>
        <w:rPr>
          <w:i/>
          <w:iCs/>
        </w:rPr>
        <w:t xml:space="preserve">and when does that acceptance lapse?</w:t>
      </w:r>
      <w:r>
        <w:t xml:space="preserve"> </w:t>
      </w:r>
      <w:r>
        <w:rPr>
          <w:b/>
          <w:bCs/>
        </w:rPr>
        <w:t xml:space="preserve">ScubaDrift</w:t>
      </w:r>
      <w:r>
        <w:t xml:space="preserve"> </w:t>
      </w:r>
      <w:r>
        <w:t xml:space="preserve">is the lifecycle layer</w:t>
      </w:r>
      <w:r>
        <w:t xml:space="preserve"> </w:t>
      </w:r>
      <w:r>
        <w:t xml:space="preserve">that answers them. It never touches the tenant — it consumes ScuBAGear’s JSON</w:t>
      </w:r>
      <w:r>
        <w:t xml:space="preserve"> </w:t>
      </w:r>
      <w:r>
        <w:t xml:space="preserve">output and the risk-acceptance register, and splits every failing policy into</w:t>
      </w:r>
      <w:r>
        <w:t xml:space="preserve"> </w:t>
      </w:r>
      <w:r>
        <w:t xml:space="preserve">exactly three dispositions:</w:t>
      </w:r>
    </w:p>
    <w:p>
      <w:pPr>
        <w:pStyle w:val="TableCaption"/>
      </w:pPr>
      <w:r>
        <w:t xml:space="preserve">ScubaDrift Dispositions</w:t>
      </w:r>
    </w:p>
    <w:tbl>
      <w:tblPr>
        <w:tblStyle w:val="Table"/>
        <w:tblW w:type="pct" w:w="5000"/>
        <w:tblLayout w:type="fixed"/>
        <w:tblLook w:firstRow="1" w:lastRow="0" w:firstColumn="0" w:lastColumn="0" w:noHBand="0" w:noVBand="0" w:val="0020"/>
        <w:tblCaption w:val="ScubaDrift Dispositions"/>
      </w:tblPr>
      <w:tblGrid>
        <w:gridCol w:w="2640"/>
        <w:gridCol w:w="2640"/>
        <w:gridCol w:w="2640"/>
      </w:tblGrid>
      <w:tr>
        <w:trPr>
          <w:tblHeader w:val="on"/>
        </w:trPr>
        <w:tc>
          <w:tcPr/>
          <w:p>
            <w:pPr>
              <w:pStyle w:val="Compact"/>
            </w:pPr>
            <w:r>
              <w:t xml:space="preserve">Disposition</w:t>
            </w:r>
          </w:p>
        </w:tc>
        <w:tc>
          <w:tcPr/>
          <w:p>
            <w:pPr>
              <w:pStyle w:val="Compact"/>
            </w:pPr>
            <w:r>
              <w:t xml:space="preserve">Meaning</w:t>
            </w:r>
          </w:p>
        </w:tc>
        <w:tc>
          <w:tcPr/>
          <w:p>
            <w:pPr>
              <w:pStyle w:val="Compact"/>
            </w:pPr>
            <w:r>
              <w:t xml:space="preserve">Gate behavior</w:t>
            </w:r>
          </w:p>
        </w:tc>
      </w:tr>
      <w:tr>
        <w:tc>
          <w:tcPr/>
          <w:p>
            <w:pPr>
              <w:pStyle w:val="Compact"/>
            </w:pPr>
            <w:r>
              <w:rPr>
                <w:rStyle w:val="VerbatimChar"/>
              </w:rPr>
              <w:t xml:space="preserve">actionable_new_drift</w:t>
            </w:r>
          </w:p>
        </w:tc>
        <w:tc>
          <w:tcPr/>
          <w:p>
            <w:pPr>
              <w:pStyle w:val="Compact"/>
            </w:pPr>
            <w:r>
              <w:t xml:space="preserve">Failing, no risk acceptance on file</w:t>
            </w:r>
          </w:p>
        </w:tc>
        <w:tc>
          <w:tcPr/>
          <w:p>
            <w:pPr>
              <w:pStyle w:val="Compact"/>
            </w:pPr>
            <w:r>
              <w:rPr>
                <w:b/>
                <w:bCs/>
              </w:rPr>
              <w:t xml:space="preserve">Act</w:t>
            </w:r>
            <w:r>
              <w:t xml:space="preserve"> </w:t>
            </w:r>
            <w:r>
              <w:t xml:space="preserve">— gate fails</w:t>
            </w:r>
          </w:p>
        </w:tc>
      </w:tr>
      <w:tr>
        <w:tc>
          <w:tcPr/>
          <w:p>
            <w:pPr>
              <w:pStyle w:val="Compact"/>
            </w:pPr>
            <w:r>
              <w:rPr>
                <w:rStyle w:val="VerbatimChar"/>
              </w:rPr>
              <w:t xml:space="preserve">lapsed_acceptance</w:t>
            </w:r>
          </w:p>
        </w:tc>
        <w:tc>
          <w:tcPr/>
          <w:p>
            <w:pPr>
              <w:pStyle w:val="Compact"/>
            </w:pPr>
            <w:r>
              <w:t xml:space="preserve">Failing, acceptance exists but expired</w:t>
            </w:r>
          </w:p>
        </w:tc>
        <w:tc>
          <w:tcPr/>
          <w:p>
            <w:pPr>
              <w:pStyle w:val="Compact"/>
            </w:pPr>
            <w:r>
              <w:rPr>
                <w:b/>
                <w:bCs/>
              </w:rPr>
              <w:t xml:space="preserve">Act</w:t>
            </w:r>
            <w:r>
              <w:t xml:space="preserve"> </w:t>
            </w:r>
            <w:r>
              <w:t xml:space="preserve">— gate fails</w:t>
            </w:r>
          </w:p>
        </w:tc>
      </w:tr>
      <w:tr>
        <w:tc>
          <w:tcPr/>
          <w:p>
            <w:pPr>
              <w:pStyle w:val="Compact"/>
            </w:pPr>
            <w:r>
              <w:rPr>
                <w:rStyle w:val="VerbatimChar"/>
              </w:rPr>
              <w:t xml:space="preserve">governed_exception</w:t>
            </w:r>
          </w:p>
        </w:tc>
        <w:tc>
          <w:tcPr/>
          <w:p>
            <w:pPr>
              <w:pStyle w:val="Compact"/>
            </w:pPr>
            <w:r>
              <w:t xml:space="preserve">Failing, covered by an in-date acceptance</w:t>
            </w:r>
          </w:p>
        </w:tc>
        <w:tc>
          <w:tcPr/>
          <w:p>
            <w:pPr>
              <w:pStyle w:val="Compact"/>
            </w:pPr>
            <w:r>
              <w:t xml:space="preserve">Governed — gate passes, POA&amp;M-linked</w:t>
            </w:r>
          </w:p>
        </w:tc>
      </w:tr>
    </w:tbl>
    <w:p>
      <w:pPr>
        <w:pStyle w:val="BodyText"/>
      </w:pPr>
      <w:r>
        <w:t xml:space="preserve">The monthly loop: ScuBAGear assesses the tenant →</w:t>
      </w:r>
      <w:r>
        <w:t xml:space="preserve"> </w:t>
      </w:r>
      <w:r>
        <w:rPr>
          <w:rStyle w:val="VerbatimChar"/>
        </w:rPr>
        <w:t xml:space="preserve">scubadrift triage --json</w:t>
      </w:r>
      <w:r>
        <w:t xml:space="preserve"> </w:t>
      </w:r>
      <w:r>
        <w:t xml:space="preserve">produces dispositions →</w:t>
      </w:r>
      <w:r>
        <w:t xml:space="preserve"> </w:t>
      </w:r>
      <w:r>
        <w:rPr>
          <w:rStyle w:val="VerbatimChar"/>
        </w:rPr>
        <w:t xml:space="preserve">scubadrift gate</w:t>
      </w:r>
      <w:r>
        <w:t xml:space="preserve"> </w:t>
      </w:r>
      <w:r>
        <w:t xml:space="preserve">runs in the pipeline (exit non-zero</w:t>
      </w:r>
      <w:r>
        <w:t xml:space="preserve"> </w:t>
      </w:r>
      <w:r>
        <w:rPr>
          <w:i/>
          <w:iCs/>
        </w:rPr>
        <w:t xml:space="preserve">only</w:t>
      </w:r>
      <w:r>
        <w:t xml:space="preserve"> </w:t>
      </w:r>
      <w:r>
        <w:t xml:space="preserve">on new drift or a lapsed acceptance — governed exceptions never break</w:t>
      </w:r>
      <w:r>
        <w:t xml:space="preserve"> </w:t>
      </w:r>
      <w:r>
        <w:t xml:space="preserve">the build) →</w:t>
      </w:r>
      <w:r>
        <w:t xml:space="preserve"> </w:t>
      </w:r>
      <w:r>
        <w:rPr>
          <w:rStyle w:val="VerbatimChar"/>
        </w:rPr>
        <w:t xml:space="preserve">&lt;engine&gt; oscal scuba-verdicts</w:t>
      </w:r>
      <w:r>
        <w:t xml:space="preserve"> </w:t>
      </w:r>
      <w:r>
        <w:t xml:space="preserve">writes</w:t>
      </w:r>
      <w:r>
        <w:t xml:space="preserve"> </w:t>
      </w:r>
      <w:r>
        <w:rPr>
          <w:rStyle w:val="VerbatimChar"/>
        </w:rPr>
        <w:t xml:space="preserve">output/artifacts/ksi-bundle/scubadrift-verdicts.json</w:t>
      </w:r>
      <w:r>
        <w:t xml:space="preserve"> </w:t>
      </w:r>
      <w:r>
        <w:t xml:space="preserve">with full provenance →</w:t>
      </w:r>
      <w:r>
        <w:t xml:space="preserve"> </w:t>
      </w:r>
      <w:r>
        <w:t xml:space="preserve">the AR refresh consumes it.</w:t>
      </w:r>
      <w:r>
        <w:t xml:space="preserve"> </w:t>
      </w:r>
      <w:r>
        <w:rPr>
          <w:rStyle w:val="VerbatimChar"/>
        </w:rPr>
        <w:t xml:space="preserve">scubadrift conmon-record</w:t>
      </w:r>
      <w:r>
        <w:t xml:space="preserve"> </w:t>
      </w:r>
      <w:r>
        <w:t xml:space="preserve">appends each run to the</w:t>
      </w:r>
      <w:r>
        <w:t xml:space="preserve"> </w:t>
      </w:r>
      <w:r>
        <w:t xml:space="preserve">history ledger, and</w:t>
      </w:r>
      <w:r>
        <w:t xml:space="preserve"> </w:t>
      </w:r>
      <w:r>
        <w:rPr>
          <w:rStyle w:val="VerbatimChar"/>
        </w:rPr>
        <w:t xml:space="preserve">scubadrift conmon-report</w:t>
      </w:r>
      <w:r>
        <w:t xml:space="preserve"> </w:t>
      </w:r>
      <w:r>
        <w:t xml:space="preserve">emits the posture trend and</w:t>
      </w:r>
      <w:r>
        <w:t xml:space="preserve"> </w:t>
      </w:r>
      <w:r>
        <w:t xml:space="preserve">remediation SLA aging that CA-7, NIST SP 800-137 (ISCM), and BOD 25-01 expect.</w:t>
      </w:r>
    </w:p>
    <w:p>
      <w:pPr>
        <w:pStyle w:val="BodyText"/>
      </w:pPr>
      <w:r>
        <w:t xml:space="preserve">A verdict entry looks like this (from the committed demonstration fixture):</w:t>
      </w:r>
    </w:p>
    <w:p>
      <w:pPr>
        <w:pStyle w:val="SourceCode"/>
      </w:pPr>
      <w:r>
        <w:rPr>
          <w:rStyle w:val="StringTok"/>
        </w:rPr>
        <w:t xml:space="preserve">"MS.AAD.3.1v1"</w:t>
      </w:r>
      <w:r>
        <w:rPr>
          <w:rStyle w:val="Erro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"result"</w:t>
      </w:r>
      <w:r>
        <w:rPr>
          <w:rStyle w:val="FunctionTok"/>
        </w:rPr>
        <w:t xml:space="preserve">:</w:t>
      </w:r>
      <w:r>
        <w:rPr>
          <w:rStyle w:val="NormalTok"/>
        </w:rPr>
        <w:t xml:space="preserve"> </w:t>
      </w:r>
      <w:r>
        <w:rPr>
          <w:rStyle w:val="StringTok"/>
        </w:rPr>
        <w:t xml:space="preserve">"fail"</w:t>
      </w:r>
      <w:r>
        <w:rPr>
          <w:rStyle w:val="FunctionTok"/>
        </w:rPr>
        <w:t xml:space="preserve">,</w:t>
      </w:r>
      <w:r>
        <w:br/>
      </w:r>
      <w:r>
        <w:rPr>
          <w:rStyle w:val="NormalTok"/>
        </w:rPr>
        <w:t xml:space="preserve"> </w:t>
      </w:r>
      <w:r>
        <w:rPr>
          <w:rStyle w:val="DataTypeTok"/>
        </w:rPr>
        <w:t xml:space="preserve">"disposition"</w:t>
      </w:r>
      <w:r>
        <w:rPr>
          <w:rStyle w:val="FunctionTok"/>
        </w:rPr>
        <w:t xml:space="preserve">:</w:t>
      </w:r>
      <w:r>
        <w:rPr>
          <w:rStyle w:val="NormalTok"/>
        </w:rPr>
        <w:t xml:space="preserve"> </w:t>
      </w:r>
      <w:r>
        <w:rPr>
          <w:rStyle w:val="StringTok"/>
        </w:rPr>
        <w:t xml:space="preserve">"governed_exception"</w:t>
      </w:r>
      <w:r>
        <w:rPr>
          <w:rStyle w:val="FunctionTok"/>
        </w:rPr>
        <w:t xml:space="preserve">,</w:t>
      </w:r>
      <w:r>
        <w:br/>
      </w:r>
      <w:r>
        <w:rPr>
          <w:rStyle w:val="NormalTok"/>
        </w:rPr>
        <w:t xml:space="preserve"> </w:t>
      </w:r>
      <w:r>
        <w:rPr>
          <w:rStyle w:val="DataTypeTok"/>
        </w:rPr>
        <w:t xml:space="preserve">"reason"</w:t>
      </w:r>
      <w:r>
        <w:rPr>
          <w:rStyle w:val="FunctionTok"/>
        </w:rPr>
        <w:t xml:space="preserve">:</w:t>
      </w:r>
      <w:r>
        <w:rPr>
          <w:rStyle w:val="NormalTok"/>
        </w:rPr>
        <w:t xml:space="preserve"> </w:t>
      </w:r>
      <w:r>
        <w:rPr>
          <w:rStyle w:val="StringTok"/>
        </w:rPr>
        <w:t xml:space="preserve">"accepted until 2026-12-31 (POAM-SAMPLE-1042)"</w:t>
      </w:r>
      <w:r>
        <w:rPr>
          <w:rStyle w:val="FunctionTok"/>
        </w:rPr>
        <w:t xml:space="preserve">,</w:t>
      </w:r>
      <w:r>
        <w:br/>
      </w:r>
      <w:r>
        <w:rPr>
          <w:rStyle w:val="NormalTok"/>
        </w:rPr>
        <w:t xml:space="preserve"> </w:t>
      </w:r>
      <w:r>
        <w:rPr>
          <w:rStyle w:val="DataTypeTok"/>
        </w:rPr>
        <w:t xml:space="preserve">"ticket"</w:t>
      </w:r>
      <w:r>
        <w:rPr>
          <w:rStyle w:val="FunctionTok"/>
        </w:rPr>
        <w:t xml:space="preserve">:</w:t>
      </w:r>
      <w:r>
        <w:rPr>
          <w:rStyle w:val="NormalTok"/>
        </w:rPr>
        <w:t xml:space="preserve"> </w:t>
      </w:r>
      <w:r>
        <w:rPr>
          <w:rStyle w:val="StringTok"/>
        </w:rPr>
        <w:t xml:space="preserve">"POAM-SAMPLE-1042"</w:t>
      </w:r>
      <w:r>
        <w:rPr>
          <w:rStyle w:val="FunctionTok"/>
        </w:rPr>
        <w:t xml:space="preserve">,</w:t>
      </w:r>
      <w:r>
        <w:br/>
      </w:r>
      <w:r>
        <w:rPr>
          <w:rStyle w:val="NormalTok"/>
        </w:rPr>
        <w:t xml:space="preserve"> </w:t>
      </w:r>
      <w:r>
        <w:rPr>
          <w:rStyle w:val="DataTypeTok"/>
        </w:rPr>
        <w:t xml:space="preserve">"expiry_date"</w:t>
      </w:r>
      <w:r>
        <w:rPr>
          <w:rStyle w:val="FunctionTok"/>
        </w:rPr>
        <w:t xml:space="preserve">:</w:t>
      </w:r>
      <w:r>
        <w:rPr>
          <w:rStyle w:val="NormalTok"/>
        </w:rPr>
        <w:t xml:space="preserve"> </w:t>
      </w:r>
      <w:r>
        <w:rPr>
          <w:rStyle w:val="StringTok"/>
        </w:rPr>
        <w:t xml:space="preserve">"2026-12-31"</w:t>
      </w:r>
      <w:r>
        <w:br/>
      </w:r>
      <w:r>
        <w:rPr>
          <w:rStyle w:val="FunctionTok"/>
        </w:rPr>
        <w:t xml:space="preserve">}</w:t>
      </w:r>
    </w:p>
    <w:p>
      <w:pPr>
        <w:pStyle w:val="FirstParagraph"/>
      </w:pPr>
      <w:r>
        <w:t xml:space="preserve">This is what</w:t>
      </w:r>
      <w:r>
        <w:t xml:space="preserve"> </w:t>
      </w:r>
      <w:r>
        <w:t xml:space="preserve">“evidence-backed”</w:t>
      </w:r>
      <w:r>
        <w:t xml:space="preserve"> </w:t>
      </w:r>
      <w:r>
        <w:t xml:space="preserve">means for the ten configuration-surface KSI</w:t>
      </w:r>
      <w:r>
        <w:t xml:space="preserve"> </w:t>
      </w:r>
      <w:r>
        <w:t xml:space="preserve">rules: the OSCAL AR no longer asserts KSI-001..010 as satisfied because a</w:t>
      </w:r>
      <w:r>
        <w:t xml:space="preserve"> </w:t>
      </w:r>
      <w:r>
        <w:t xml:space="preserve">scanner ran — each verdict carries its result, its disposition, its governing</w:t>
      </w:r>
      <w:r>
        <w:t xml:space="preserve"> </w:t>
      </w:r>
      <w:r>
        <w:t xml:space="preserve">ticket, and its expiry, and a governed exception surfaces as a POA&amp;M-linked</w:t>
      </w:r>
      <w:r>
        <w:t xml:space="preserve"> </w:t>
      </w:r>
      <w:r>
        <w:t xml:space="preserve">entry rather than a silent pass. Retirable acceptances (exceptions whose</w:t>
      </w:r>
      <w:r>
        <w:t xml:space="preserve"> </w:t>
      </w:r>
      <w:r>
        <w:t xml:space="preserve">policy now passes) are flagged for removal from the register, so the</w:t>
      </w:r>
      <w:r>
        <w:t xml:space="preserve"> </w:t>
      </w:r>
      <w:r>
        <w:t xml:space="preserve">acceptance file cannot silently accumulate dead weight. All expiry math is</w:t>
      </w:r>
      <w:r>
        <w:t xml:space="preserve"> </w:t>
      </w:r>
      <w:r>
        <w:rPr>
          <w:rStyle w:val="VerbatimChar"/>
        </w:rPr>
        <w:t xml:space="preserve">--as-of</w:t>
      </w:r>
      <w:r>
        <w:t xml:space="preserve">-injected, so verdict runs are deterministic and reproducible for</w:t>
      </w:r>
      <w:r>
        <w:t xml:space="preserve"> </w:t>
      </w:r>
      <w:r>
        <w:t xml:space="preserve">the assessor.</w:t>
      </w:r>
    </w:p>
    <w:bookmarkEnd w:id="21"/>
    <w:bookmarkStart w:id="22" w:name="Xd988f19fb2a3d1855ce938f7e6784550f9b5c2d"/>
    <w:p>
      <w:pPr>
        <w:pStyle w:val="Heading3"/>
      </w:pPr>
      <w:r>
        <w:t xml:space="preserve">4.2.2 Why Not Secure Score or Compliance Manager?</w:t>
      </w:r>
    </w:p>
    <w:p>
      <w:pPr>
        <w:pStyle w:val="FirstParagraph"/>
      </w:pPr>
      <w:r>
        <w:t xml:space="preserve">The question an Authorizing Official will ask: Microsoft already ships posture</w:t>
      </w:r>
      <w:r>
        <w:t xml:space="preserve"> </w:t>
      </w:r>
      <w:r>
        <w:t xml:space="preserve">tooling — why is this pipeline not redundant? Because none of the Microsoft</w:t>
      </w:r>
      <w:r>
        <w:t xml:space="preserve"> </w:t>
      </w:r>
      <w:r>
        <w:t xml:space="preserve">offerings produce evidence an assessor can consume:</w:t>
      </w:r>
    </w:p>
    <w:p>
      <w:pPr>
        <w:pStyle w:val="TableCaption"/>
      </w:pPr>
      <w:r>
        <w:t xml:space="preserve">Vendor Posture Tooling vs. Disposition Evidence</w:t>
      </w:r>
    </w:p>
    <w:tbl>
      <w:tblPr>
        <w:tblStyle w:val="Table"/>
        <w:tblW w:type="pct" w:w="5000"/>
        <w:tblLayout w:type="fixed"/>
        <w:tblLook w:firstRow="1" w:lastRow="0" w:firstColumn="0" w:lastColumn="0" w:noHBand="0" w:noVBand="0" w:val="0020"/>
        <w:tblCaption w:val="Vendor Posture Tooling vs. Disposition Evidence"/>
      </w:tblPr>
      <w:tblGrid>
        <w:gridCol w:w="2640"/>
        <w:gridCol w:w="2640"/>
        <w:gridCol w:w="2640"/>
      </w:tblGrid>
      <w:tr>
        <w:trPr>
          <w:tblHeader w:val="on"/>
        </w:trPr>
        <w:tc>
          <w:tcPr/>
          <w:p>
            <w:pPr>
              <w:pStyle w:val="Compact"/>
            </w:pPr>
            <w:r>
              <w:t xml:space="preserve">Offering</w:t>
            </w:r>
          </w:p>
        </w:tc>
        <w:tc>
          <w:tcPr/>
          <w:p>
            <w:pPr>
              <w:pStyle w:val="Compact"/>
            </w:pPr>
            <w:r>
              <w:t xml:space="preserve">What it provides</w:t>
            </w:r>
          </w:p>
        </w:tc>
        <w:tc>
          <w:tcPr/>
          <w:p>
            <w:pPr>
              <w:pStyle w:val="Compact"/>
            </w:pPr>
            <w:r>
              <w:t xml:space="preserve">Why it is not this evidence</w:t>
            </w:r>
          </w:p>
        </w:tc>
      </w:tr>
      <w:tr>
        <w:tc>
          <w:tcPr/>
          <w:p>
            <w:pPr>
              <w:pStyle w:val="Compact"/>
            </w:pPr>
            <w:r>
              <w:t xml:space="preserve">Microsoft Secure Score</w:t>
            </w:r>
          </w:p>
        </w:tc>
        <w:tc>
          <w:tcPr/>
          <w:p>
            <w:pPr>
              <w:pStyle w:val="Compact"/>
            </w:pPr>
            <w:r>
              <w:t xml:space="preserve">Proprietary posture score with trend and</w:t>
            </w:r>
            <w:r>
              <w:t xml:space="preserve"> </w:t>
            </w:r>
            <w:r>
              <w:t xml:space="preserve">“accepted risk”</w:t>
            </w:r>
            <w:r>
              <w:t xml:space="preserve"> </w:t>
            </w:r>
            <w:r>
              <w:t xml:space="preserve">markers</w:t>
            </w:r>
          </w:p>
        </w:tc>
        <w:tc>
          <w:tcPr/>
          <w:p>
            <w:pPr>
              <w:pStyle w:val="Compact"/>
            </w:pPr>
            <w:r>
              <w:t xml:space="preserve">Scores against Microsoft’s rubric, not the CISA SCuBA baseline; accepted-risk markers never expire and link to no POA&amp;M; no per-policy verdict artifact; cannot gate a pipeline</w:t>
            </w:r>
          </w:p>
        </w:tc>
      </w:tr>
      <w:tr>
        <w:tc>
          <w:tcPr/>
          <w:p>
            <w:pPr>
              <w:pStyle w:val="Compact"/>
            </w:pPr>
            <w:r>
              <w:t xml:space="preserve">Purview Compliance Manager</w:t>
            </w:r>
          </w:p>
        </w:tc>
        <w:tc>
          <w:tcPr/>
          <w:p>
            <w:pPr>
              <w:pStyle w:val="Compact"/>
            </w:pPr>
            <w:r>
              <w:t xml:space="preserve">NIST 800-53 / FedRAMP assessment templates, improvement actions</w:t>
            </w:r>
          </w:p>
        </w:tc>
        <w:tc>
          <w:tcPr/>
          <w:p>
            <w:pPr>
              <w:pStyle w:val="Compact"/>
            </w:pPr>
            <w:r>
              <w:t xml:space="preserve">Portal workflow with largely manual evidence attachment; produces a score, not machine-readable per-control verdicts; no run-to-run drift, no expiry math, no OSCAL output</w:t>
            </w:r>
          </w:p>
        </w:tc>
      </w:tr>
      <w:tr>
        <w:tc>
          <w:tcPr/>
          <w:p>
            <w:pPr>
              <w:pStyle w:val="Compact"/>
            </w:pPr>
            <w:r>
              <w:t xml:space="preserve">Microsoft365DSC</w:t>
            </w:r>
          </w:p>
        </w:tc>
        <w:tc>
          <w:tcPr/>
          <w:p>
            <w:pPr>
              <w:pStyle w:val="Compact"/>
            </w:pPr>
            <w:r>
              <w:t xml:space="preserve">Tenant configuration export, drift detection against your own snapshot, enforcement</w:t>
            </w:r>
          </w:p>
        </w:tc>
        <w:tc>
          <w:tcPr/>
          <w:p>
            <w:pPr>
              <w:pStyle w:val="Compact"/>
            </w:pPr>
            <w:r>
              <w:t xml:space="preserve">Drift means</w:t>
            </w:r>
            <w:r>
              <w:t xml:space="preserve"> </w:t>
            </w:r>
            <w:r>
              <w:t xml:space="preserve">“configuration changed versus my snapshot,”</w:t>
            </w:r>
            <w:r>
              <w:t xml:space="preserve"> </w:t>
            </w:r>
            <w:r>
              <w:t xml:space="preserve">not</w:t>
            </w:r>
            <w:r>
              <w:t xml:space="preserve"> </w:t>
            </w:r>
            <w:r>
              <w:t xml:space="preserve">“SCuBA verdict changed”</w:t>
            </w:r>
            <w:r>
              <w:t xml:space="preserve">; no risk-acceptance model; the baseline is the operator, not the regulator</w:t>
            </w:r>
          </w:p>
        </w:tc>
      </w:tr>
    </w:tbl>
    <w:p>
      <w:pPr>
        <w:pStyle w:val="BodyText"/>
      </w:pPr>
      <w:r>
        <w:t xml:space="preserve">The structural difference is authority and lifecycle. Secure Score and</w:t>
      </w:r>
      <w:r>
        <w:t xml:space="preserve"> </w:t>
      </w:r>
      <w:r>
        <w:t xml:space="preserve">Compliance Manager are the vendor grading its own product against its own</w:t>
      </w:r>
      <w:r>
        <w:t xml:space="preserve"> </w:t>
      </w:r>
      <w:r>
        <w:t xml:space="preserve">rubric — self-attestation, the evidence class an assessor discounts first.</w:t>
      </w:r>
      <w:r>
        <w:t xml:space="preserve"> </w:t>
      </w:r>
      <w:r>
        <w:t xml:space="preserve">ScuBAGear verdicts are against the regulator’s baseline, and ScubaDrift adds</w:t>
      </w:r>
      <w:r>
        <w:t xml:space="preserve"> </w:t>
      </w:r>
      <w:r>
        <w:t xml:space="preserve">what no vendor dashboard models: the governed exception that</w:t>
      </w:r>
      <w:r>
        <w:t xml:space="preserve"> </w:t>
      </w:r>
      <w:r>
        <w:rPr>
          <w:i/>
          <w:iCs/>
        </w:rPr>
        <w:t xml:space="preserve">expires</w:t>
      </w:r>
      <w:r>
        <w:t xml:space="preserve">, the</w:t>
      </w:r>
      <w:r>
        <w:t xml:space="preserve"> </w:t>
      </w:r>
      <w:r>
        <w:t xml:space="preserve">lapsed acceptance that becomes actionable, the retirable acceptance flagged as</w:t>
      </w:r>
      <w:r>
        <w:t xml:space="preserve"> </w:t>
      </w:r>
      <w:r>
        <w:t xml:space="preserve">dead weight, and a gate with deterministic, reproducible semantics. The vendor</w:t>
      </w:r>
      <w:r>
        <w:t xml:space="preserve"> </w:t>
      </w:r>
      <w:r>
        <w:t xml:space="preserve">tools tell you your posture; this pipeline proves it, over time, against</w:t>
      </w:r>
      <w:r>
        <w:t xml:space="preserve"> </w:t>
      </w:r>
      <w:r>
        <w:t xml:space="preserve">someone else’s baseline, with every exception governed and aging.</w:t>
      </w:r>
    </w:p>
    <w:bookmarkEnd w:id="22"/>
    <w:bookmarkEnd w:id="23"/>
    <w:bookmarkStart w:id="24" w:name="quarterly-activities"/>
    <w:p>
      <w:pPr>
        <w:pStyle w:val="Heading2"/>
      </w:pPr>
      <w:r>
        <w:t xml:space="preserve">4.3 3.3 Quarterly Activities</w:t>
      </w:r>
    </w:p>
    <w:p>
      <w:pPr>
        <w:pStyle w:val="TableCaption"/>
      </w:pPr>
      <w:r>
        <w:t xml:space="preserve">Quarterly ConMon Schedule</w:t>
      </w:r>
    </w:p>
    <w:tbl>
      <w:tblPr>
        <w:tblStyle w:val="Table"/>
        <w:tblW w:type="pct" w:w="5000"/>
        <w:tblLayout w:type="fixed"/>
        <w:tblLook w:firstRow="1" w:lastRow="0" w:firstColumn="0" w:lastColumn="0" w:noHBand="0" w:noVBand="0" w:val="0020"/>
        <w:tblCaption w:val="Quarterly ConMon Schedule"/>
      </w:tblPr>
      <w:tblGrid>
        <w:gridCol w:w="766"/>
        <w:gridCol w:w="2554"/>
        <w:gridCol w:w="2299"/>
        <w:gridCol w:w="2299"/>
      </w:tblGrid>
      <w:tr>
        <w:trPr>
          <w:tblHeader w:val="on"/>
        </w:trPr>
        <w:tc>
          <w:tcPr/>
          <w:p>
            <w:pPr>
              <w:pStyle w:val="Compact"/>
            </w:pPr>
            <w:r>
              <w:t xml:space="preserve">Q</w:t>
            </w:r>
          </w:p>
        </w:tc>
        <w:tc>
          <w:tcPr/>
          <w:p>
            <w:pPr>
              <w:pStyle w:val="Compact"/>
            </w:pPr>
            <w:r>
              <w:t xml:space="preserve">Activity</w:t>
            </w:r>
          </w:p>
        </w:tc>
        <w:tc>
          <w:tcPr/>
          <w:p>
            <w:pPr>
              <w:pStyle w:val="Compact"/>
            </w:pPr>
            <w:r>
              <w:t xml:space="preserve">Controls</w:t>
            </w:r>
          </w:p>
        </w:tc>
        <w:tc>
          <w:tcPr/>
          <w:p>
            <w:pPr>
              <w:pStyle w:val="Compact"/>
            </w:pPr>
            <w:r>
              <w:t xml:space="preserve">Evidence</w:t>
            </w:r>
          </w:p>
        </w:tc>
      </w:tr>
      <w:tr>
        <w:tc>
          <w:tcPr/>
          <w:p>
            <w:pPr>
              <w:pStyle w:val="Compact"/>
            </w:pPr>
            <w:r>
              <w:t xml:space="preserve">Q1/Q2/Q3/Q4</w:t>
            </w:r>
          </w:p>
        </w:tc>
        <w:tc>
          <w:tcPr/>
          <w:p>
            <w:pPr>
              <w:pStyle w:val="Compact"/>
            </w:pPr>
            <w:r>
              <w:t xml:space="preserve">KSI evidence quality review</w:t>
            </w:r>
          </w:p>
        </w:tc>
        <w:tc>
          <w:tcPr/>
          <w:p>
            <w:pPr>
              <w:pStyle w:val="Compact"/>
            </w:pPr>
            <w:r>
              <w:t xml:space="preserve">CA-7(3)</w:t>
            </w:r>
          </w:p>
        </w:tc>
        <w:tc>
          <w:tcPr/>
          <w:p>
            <w:pPr>
              <w:pStyle w:val="Compact"/>
            </w:pPr>
            <w:r>
              <w:t xml:space="preserve">Trend report from AR history</w:t>
            </w:r>
          </w:p>
        </w:tc>
      </w:tr>
      <w:tr>
        <w:tc>
          <w:tcPr/>
          <w:p>
            <w:pPr>
              <w:pStyle w:val="Compact"/>
            </w:pPr>
            <w:r>
              <w:t xml:space="preserve">Q1/Q2/Q3/Q4</w:t>
            </w:r>
          </w:p>
        </w:tc>
        <w:tc>
          <w:tcPr/>
          <w:p>
            <w:pPr>
              <w:pStyle w:val="Compact"/>
            </w:pPr>
            <w:r>
              <w:t xml:space="preserve">Training completion review</w:t>
            </w:r>
          </w:p>
        </w:tc>
        <w:tc>
          <w:tcPr/>
          <w:p>
            <w:pPr>
              <w:pStyle w:val="Compact"/>
            </w:pPr>
            <w:r>
              <w:t xml:space="preserve">AT-4, KSI-022</w:t>
            </w:r>
          </w:p>
        </w:tc>
        <w:tc>
          <w:tcPr/>
          <w:p>
            <w:pPr>
              <w:pStyle w:val="Compact"/>
            </w:pPr>
            <w:r>
              <w:rPr>
                <w:rStyle w:val="VerbatimChar"/>
              </w:rPr>
              <w:t xml:space="preserve">governance.training-effectiveness-record</w:t>
            </w:r>
          </w:p>
        </w:tc>
      </w:tr>
      <w:tr>
        <w:tc>
          <w:tcPr/>
          <w:p>
            <w:pPr>
              <w:pStyle w:val="Compact"/>
            </w:pPr>
            <w:r>
              <w:t xml:space="preserve">Q1/Q2/Q3/Q4</w:t>
            </w:r>
          </w:p>
        </w:tc>
        <w:tc>
          <w:tcPr/>
          <w:p>
            <w:pPr>
              <w:pStyle w:val="Compact"/>
            </w:pPr>
            <w:r>
              <w:t xml:space="preserve">Slot binding confidence review</w:t>
            </w:r>
          </w:p>
        </w:tc>
        <w:tc>
          <w:tcPr/>
          <w:p>
            <w:pPr>
              <w:pStyle w:val="Compact"/>
            </w:pPr>
            <w:r>
              <w:t xml:space="preserve">CA-7</w:t>
            </w:r>
          </w:p>
        </w:tc>
        <w:tc>
          <w:tcPr/>
          <w:p>
            <w:pPr>
              <w:pStyle w:val="Compact"/>
            </w:pPr>
            <w:r>
              <w:t xml:space="preserve">Slot YAML audit</w:t>
            </w:r>
          </w:p>
        </w:tc>
      </w:tr>
      <w:tr>
        <w:tc>
          <w:tcPr/>
          <w:p>
            <w:pPr>
              <w:pStyle w:val="Compact"/>
            </w:pPr>
            <w:r>
              <w:t xml:space="preserve">Q1/Q3</w:t>
            </w:r>
          </w:p>
        </w:tc>
        <w:tc>
          <w:tcPr/>
          <w:p>
            <w:pPr>
              <w:pStyle w:val="Compact"/>
            </w:pPr>
            <w:r>
              <w:t xml:space="preserve">Privileged access review</w:t>
            </w:r>
          </w:p>
        </w:tc>
        <w:tc>
          <w:tcPr/>
          <w:p>
            <w:pPr>
              <w:pStyle w:val="Compact"/>
            </w:pPr>
            <w:r>
              <w:t xml:space="preserve">AC-6, KSI-IAM</w:t>
            </w:r>
          </w:p>
        </w:tc>
        <w:tc>
          <w:tcPr/>
          <w:p>
            <w:pPr>
              <w:pStyle w:val="Compact"/>
            </w:pPr>
            <w:r>
              <w:t xml:space="preserve">Entra PIM access review</w:t>
            </w:r>
          </w:p>
        </w:tc>
      </w:tr>
    </w:tbl>
    <w:bookmarkEnd w:id="24"/>
    <w:bookmarkStart w:id="25" w:name="semi-annual-activities"/>
    <w:p>
      <w:pPr>
        <w:pStyle w:val="Heading2"/>
      </w:pPr>
      <w:r>
        <w:t xml:space="preserve">4.4 3.4 Semi-Annual Activities</w:t>
      </w:r>
    </w:p>
    <w:tbl>
      <w:tblPr>
        <w:tblStyle w:val="Table"/>
        <w:tblW w:type="pct" w:w="5000"/>
        <w:tblLayout w:type="fixed"/>
        <w:tblLook w:firstRow="1" w:lastRow="0" w:firstColumn="0" w:lastColumn="0" w:noHBand="0" w:noVBand="0" w:val="0020"/>
      </w:tblPr>
      <w:tblGrid>
        <w:gridCol w:w="2640"/>
        <w:gridCol w:w="2376"/>
        <w:gridCol w:w="2904"/>
      </w:tblGrid>
      <w:tr>
        <w:trPr>
          <w:tblHeader w:val="on"/>
        </w:trPr>
        <w:tc>
          <w:tcPr/>
          <w:p>
            <w:pPr>
              <w:pStyle w:val="Compact"/>
            </w:pPr>
            <w:r>
              <w:t xml:space="preserve">Activity</w:t>
            </w:r>
          </w:p>
        </w:tc>
        <w:tc>
          <w:tcPr/>
          <w:p>
            <w:pPr>
              <w:pStyle w:val="Compact"/>
            </w:pPr>
            <w:r>
              <w:t xml:space="preserve">Controls</w:t>
            </w:r>
          </w:p>
        </w:tc>
        <w:tc>
          <w:tcPr/>
          <w:p>
            <w:pPr>
              <w:pStyle w:val="Compact"/>
            </w:pPr>
            <w:r>
              <w:t xml:space="preserve">Reference</w:t>
            </w:r>
          </w:p>
        </w:tc>
      </w:tr>
      <w:tr>
        <w:tc>
          <w:tcPr/>
          <w:p>
            <w:pPr>
              <w:pStyle w:val="Compact"/>
            </w:pPr>
            <w:r>
              <w:t xml:space="preserve">IR tabletop drill (SOC scenario exercise)</w:t>
            </w:r>
          </w:p>
        </w:tc>
        <w:tc>
          <w:tcPr/>
          <w:p>
            <w:pPr>
              <w:pStyle w:val="Compact"/>
            </w:pPr>
            <w:r>
              <w:t xml:space="preserve">IR-2, KSI-INR</w:t>
            </w:r>
          </w:p>
        </w:tc>
        <w:tc>
          <w:tcPr/>
          <w:p>
            <w:pPr>
              <w:pStyle w:val="Compact"/>
            </w:pPr>
            <w:r>
              <w:t xml:space="preserve">Vol IV Book 05 §6 Incident Response and DR Training</w:t>
            </w:r>
          </w:p>
        </w:tc>
      </w:tr>
      <w:tr>
        <w:tc>
          <w:tcPr/>
          <w:p>
            <w:pPr>
              <w:pStyle w:val="Compact"/>
            </w:pPr>
            <w:r>
              <w:t xml:space="preserve">CP-3 contingency training exercise</w:t>
            </w:r>
          </w:p>
        </w:tc>
        <w:tc>
          <w:tcPr/>
          <w:p>
            <w:pPr>
              <w:pStyle w:val="Compact"/>
            </w:pPr>
            <w:r>
              <w:t xml:space="preserve">CP-3, KSI-RPL</w:t>
            </w:r>
          </w:p>
        </w:tc>
        <w:tc>
          <w:tcPr/>
          <w:p>
            <w:pPr>
              <w:pStyle w:val="Compact"/>
            </w:pPr>
            <w:r>
              <w:t xml:space="preserve">Vol IV Book 01 §4 Tabletop Calendar</w:t>
            </w:r>
          </w:p>
        </w:tc>
      </w:tr>
      <w:tr>
        <w:tc>
          <w:tcPr/>
          <w:p>
            <w:pPr>
              <w:pStyle w:val="Compact"/>
            </w:pPr>
            <w:r>
              <w:t xml:space="preserve">SBOM freshness + VDR/VER review</w:t>
            </w:r>
          </w:p>
        </w:tc>
        <w:tc>
          <w:tcPr/>
          <w:p>
            <w:pPr>
              <w:pStyle w:val="Compact"/>
            </w:pPr>
            <w:r>
              <w:t xml:space="preserve">SR-5, SR-6, KSI-SCR</w:t>
            </w:r>
          </w:p>
        </w:tc>
        <w:tc>
          <w:tcPr/>
          <w:p>
            <w:pPr>
              <w:pStyle w:val="Compact"/>
            </w:pPr>
            <w:r>
              <w:t xml:space="preserve">Vol IV Book 02 §3 Vulnerability Disclosure Report (VDR)</w:t>
            </w:r>
          </w:p>
        </w:tc>
      </w:tr>
    </w:tbl>
    <w:bookmarkEnd w:id="25"/>
    <w:bookmarkStart w:id="26" w:name="annual-activities"/>
    <w:p>
      <w:pPr>
        <w:pStyle w:val="Heading2"/>
      </w:pPr>
      <w:r>
        <w:t xml:space="preserve">4.5 3.5 Annual Activities</w:t>
      </w:r>
    </w:p>
    <w:tbl>
      <w:tblPr>
        <w:tblStyle w:val="Table"/>
        <w:tblW w:type="pct" w:w="5000"/>
        <w:tblLayout w:type="fixed"/>
        <w:tblLook w:firstRow="1" w:lastRow="0" w:firstColumn="0" w:lastColumn="0" w:noHBand="0" w:noVBand="0" w:val="0020"/>
      </w:tblPr>
      <w:tblGrid>
        <w:gridCol w:w="3046"/>
        <w:gridCol w:w="2741"/>
        <w:gridCol w:w="2132"/>
      </w:tblGrid>
      <w:tr>
        <w:trPr>
          <w:tblHeader w:val="on"/>
        </w:trPr>
        <w:tc>
          <w:tcPr/>
          <w:p>
            <w:pPr>
              <w:pStyle w:val="Compact"/>
            </w:pPr>
            <w:r>
              <w:t xml:space="preserve">Activity</w:t>
            </w:r>
          </w:p>
        </w:tc>
        <w:tc>
          <w:tcPr/>
          <w:p>
            <w:pPr>
              <w:pStyle w:val="Compact"/>
            </w:pPr>
            <w:r>
              <w:t xml:space="preserve">Controls</w:t>
            </w:r>
          </w:p>
        </w:tc>
        <w:tc>
          <w:tcPr/>
          <w:p>
            <w:pPr>
              <w:pStyle w:val="Compact"/>
            </w:pPr>
            <w:r>
              <w:t xml:space="preserve">Owner</w:t>
            </w:r>
          </w:p>
        </w:tc>
      </w:tr>
      <w:tr>
        <w:tc>
          <w:tcPr/>
          <w:p>
            <w:pPr>
              <w:pStyle w:val="Compact"/>
            </w:pPr>
            <w:r>
              <w:t xml:space="preserve">Full KSI re-assessment (all 29 rules)</w:t>
            </w:r>
          </w:p>
        </w:tc>
        <w:tc>
          <w:tcPr/>
          <w:p>
            <w:pPr>
              <w:pStyle w:val="Compact"/>
            </w:pPr>
            <w:r>
              <w:t xml:space="preserve">CA-2, CA-7</w:t>
            </w:r>
          </w:p>
        </w:tc>
        <w:tc>
          <w:tcPr/>
          <w:p>
            <w:pPr>
              <w:pStyle w:val="Compact"/>
            </w:pPr>
            <w:r>
              <w:t xml:space="preserve">ISSO</w:t>
            </w:r>
          </w:p>
        </w:tc>
      </w:tr>
      <w:tr>
        <w:tc>
          <w:tcPr/>
          <w:p>
            <w:pPr>
              <w:pStyle w:val="Compact"/>
            </w:pPr>
            <w:r>
              <w:t xml:space="preserve">AT-2 annual security awareness training refresh</w:t>
            </w:r>
          </w:p>
        </w:tc>
        <w:tc>
          <w:tcPr/>
          <w:p>
            <w:pPr>
              <w:pStyle w:val="Compact"/>
            </w:pPr>
            <w:r>
              <w:t xml:space="preserve">AT-2, KSI-CED</w:t>
            </w:r>
          </w:p>
        </w:tc>
        <w:tc>
          <w:tcPr/>
          <w:p>
            <w:pPr>
              <w:pStyle w:val="Compact"/>
            </w:pPr>
            <w:r>
              <w:t xml:space="preserve">HR / Training Coordinator</w:t>
            </w:r>
          </w:p>
        </w:tc>
      </w:tr>
      <w:tr>
        <w:tc>
          <w:tcPr/>
          <w:p>
            <w:pPr>
              <w:pStyle w:val="Compact"/>
            </w:pPr>
            <w:r>
              <w:t xml:space="preserve">CP-2 contingency plan update</w:t>
            </w:r>
          </w:p>
        </w:tc>
        <w:tc>
          <w:tcPr/>
          <w:p>
            <w:pPr>
              <w:pStyle w:val="Compact"/>
            </w:pPr>
            <w:r>
              <w:t xml:space="preserve">CP-2, KSI-RPL</w:t>
            </w:r>
          </w:p>
        </w:tc>
        <w:tc>
          <w:tcPr/>
          <w:p>
            <w:pPr>
              <w:pStyle w:val="Compact"/>
            </w:pPr>
            <w:r>
              <w:t xml:space="preserve">Business Continuity Lead</w:t>
            </w:r>
          </w:p>
        </w:tc>
      </w:tr>
      <w:tr>
        <w:tc>
          <w:tcPr/>
          <w:p>
            <w:pPr>
              <w:pStyle w:val="Compact"/>
            </w:pPr>
            <w:r>
              <w:t xml:space="preserve">PM-14 T&amp;T&amp;M plan annual update</w:t>
            </w:r>
          </w:p>
        </w:tc>
        <w:tc>
          <w:tcPr/>
          <w:p>
            <w:pPr>
              <w:pStyle w:val="Compact"/>
            </w:pPr>
            <w:r>
              <w:t xml:space="preserve">PM-14</w:t>
            </w:r>
          </w:p>
        </w:tc>
        <w:tc>
          <w:tcPr/>
          <w:p>
            <w:pPr>
              <w:pStyle w:val="Compact"/>
            </w:pPr>
            <w:r>
              <w:t xml:space="preserve">ISSM</w:t>
            </w:r>
          </w:p>
        </w:tc>
      </w:tr>
      <w:tr>
        <w:tc>
          <w:tcPr/>
          <w:p>
            <w:pPr>
              <w:pStyle w:val="Compact"/>
            </w:pPr>
            <w:r>
              <w:t xml:space="preserve">ATO renewal package preparation</w:t>
            </w:r>
          </w:p>
        </w:tc>
        <w:tc>
          <w:tcPr/>
          <w:p>
            <w:pPr>
              <w:pStyle w:val="Compact"/>
            </w:pPr>
            <w:r>
              <w:t xml:space="preserve">CA-6</w:t>
            </w:r>
          </w:p>
        </w:tc>
        <w:tc>
          <w:tcPr/>
          <w:p>
            <w:pPr>
              <w:pStyle w:val="Compact"/>
            </w:pPr>
            <w:r>
              <w:t xml:space="preserve">ISSO + Authorizing Official</w:t>
            </w:r>
          </w:p>
        </w:tc>
      </w:tr>
      <w:tr>
        <w:tc>
          <w:tcPr/>
          <w:p>
            <w:pPr>
              <w:pStyle w:val="Compact"/>
            </w:pPr>
            <w:r>
              <w:t xml:space="preserve">BOD 26-04 SBOM annual certification</w:t>
            </w:r>
          </w:p>
        </w:tc>
        <w:tc>
          <w:tcPr/>
          <w:p>
            <w:pPr>
              <w:pStyle w:val="Compact"/>
            </w:pPr>
            <w:r>
              <w:t xml:space="preserve">SR-11, KSI-SCR</w:t>
            </w:r>
          </w:p>
        </w:tc>
        <w:tc>
          <w:tcPr/>
          <w:p>
            <w:pPr>
              <w:pStyle w:val="Compact"/>
            </w:pPr>
            <w:r>
              <w:t xml:space="preserve">SR team</w:t>
            </w:r>
          </w:p>
        </w:tc>
      </w:tr>
    </w:tbl>
    <w:bookmarkEnd w:id="26"/>
    <w:bookmarkStart w:id="27" w:name="trend-analyses-ca-73"/>
    <w:p>
      <w:pPr>
        <w:pStyle w:val="Heading2"/>
      </w:pPr>
      <w:r>
        <w:t xml:space="preserve">4.6 3.6 Trend Analyses (CA-7(3))</w:t>
      </w:r>
    </w:p>
    <w:p>
      <w:pPr>
        <w:pStyle w:val="FirstParagraph"/>
      </w:pPr>
      <w:r>
        <w:t xml:space="preserve">The OSCAL AR tracks KSI verdict history across assessment cycles. Trend analysis</w:t>
      </w:r>
      <w:r>
        <w:t xml:space="preserve"> </w:t>
      </w:r>
      <w:r>
        <w:t xml:space="preserve">is performed quarterly by comparing the current AR against the previous three</w:t>
      </w:r>
      <w:r>
        <w:t xml:space="preserve"> </w:t>
      </w:r>
      <w:r>
        <w:t xml:space="preserve">months of AR snapshots:</w:t>
      </w:r>
    </w:p>
    <w:p>
      <w:pPr>
        <w:pStyle w:val="SourceCode"/>
      </w:pPr>
      <w:r>
        <w:rPr>
          <w:rStyle w:val="CommentTok"/>
        </w:rPr>
        <w:t xml:space="preserve"># Compare current AR with previous quarter's snapshot</w:t>
      </w:r>
      <w:r>
        <w:br/>
      </w:r>
      <w:r>
        <w:rPr>
          <w:rStyle w:val="OperatorTok"/>
        </w:rPr>
        <w:t xml:space="preserve">&lt;</w:t>
      </w:r>
      <w:r>
        <w:rPr>
          <w:rStyle w:val="NormalTok"/>
        </w:rPr>
        <w:t xml:space="preserve">engine</w:t>
      </w:r>
      <w:r>
        <w:rPr>
          <w:rStyle w:val="OperatorTok"/>
        </w:rPr>
        <w:t xml:space="preserve">&gt;</w:t>
      </w:r>
      <w:r>
        <w:rPr>
          <w:rStyle w:val="NormalTok"/>
        </w:rPr>
        <w:t xml:space="preserve"> oscal </w:t>
      </w:r>
      <w:r>
        <w:rPr>
          <w:rStyle w:val="ExtensionTok"/>
        </w:rPr>
        <w:t xml:space="preserve">ksi-ar</w:t>
      </w:r>
      <w:r>
        <w:rPr>
          <w:rStyle w:val="NormalTok"/>
        </w:rPr>
        <w:t xml:space="preserve"> </w:t>
      </w:r>
      <w:r>
        <w:rPr>
          <w:rStyle w:val="AttributeTok"/>
        </w:rPr>
        <w:t xml:space="preserve">--output-path</w:t>
      </w:r>
      <w:r>
        <w:rPr>
          <w:rStyle w:val="NormalTok"/>
        </w:rPr>
        <w:t xml:space="preserve"> output/artifacts/ksi-bundle/ksi-ar-</w:t>
      </w:r>
      <w:r>
        <w:rPr>
          <w:rStyle w:val="VariableTok"/>
        </w:rPr>
        <w:t xml:space="preserve">$(</w:t>
      </w:r>
      <w:r>
        <w:rPr>
          <w:rStyle w:val="FunctionTok"/>
        </w:rPr>
        <w:t xml:space="preserve">date</w:t>
      </w:r>
      <w:r>
        <w:rPr>
          <w:rStyle w:val="NormalTok"/>
        </w:rPr>
        <w:t xml:space="preserve"> +%Y%m</w:t>
      </w:r>
      <w:r>
        <w:rPr>
          <w:rStyle w:val="VariableTok"/>
        </w:rPr>
        <w:t xml:space="preserve">)</w:t>
      </w:r>
      <w:r>
        <w:rPr>
          <w:rStyle w:val="NormalTok"/>
        </w:rPr>
        <w:t xml:space="preserve">.json</w:t>
      </w:r>
      <w:r>
        <w:br/>
      </w:r>
      <w:r>
        <w:br/>
      </w:r>
      <w:r>
        <w:rPr>
          <w:rStyle w:val="CommentTok"/>
        </w:rPr>
        <w:t xml:space="preserve"># Historical ARs accumulate in output/artifacts/ksi-bundle/history/</w:t>
      </w:r>
      <w:r>
        <w:br/>
      </w:r>
      <w:r>
        <w:rPr>
          <w:rStyle w:val="CommentTok"/>
        </w:rPr>
        <w:t xml:space="preserve"># Trend: satisfied count should be stable at 29; any drop triggers POA&amp;M entry</w:t>
      </w:r>
    </w:p>
    <w:p>
      <w:pPr>
        <w:pStyle w:val="FirstParagraph"/>
      </w:pPr>
      <w:r>
        <w:t xml:space="preserve">A downward trend in satisfied count (e.g., a training completion gap dropping</w:t>
      </w:r>
      <w:r>
        <w:t xml:space="preserve"> </w:t>
      </w:r>
      <w:r>
        <w:t xml:space="preserve">KSI-022 to not-satisfied) triggers automatic POA&amp;M creation on the next bundle</w:t>
      </w:r>
      <w:r>
        <w:t xml:space="preserve"> </w:t>
      </w:r>
      <w:r>
        <w:t xml:space="preserve">run, providing the AO with an early warning signal.</w:t>
      </w:r>
    </w:p>
    <w:p>
      <w:r>
        <w:pict>
          <v:rect style="width:0;height:1.5pt" o:hralign="center" o:hrstd="t" o:hr="t"/>
        </w:pict>
      </w:r>
    </w:p>
    <w:bookmarkEnd w:id="27"/>
    <w:bookmarkEnd w:id="28"/>
    <w:bookmarkStart w:id="32" w:name="agency-authorization-package-ca-6"/>
    <w:p>
      <w:pPr>
        <w:pStyle w:val="Heading1"/>
      </w:pPr>
      <w:r>
        <w:t xml:space="preserve">5. 4 Agency Authorization Package (CA-6)</w:t>
      </w:r>
    </w:p>
    <w:bookmarkStart w:id="29" w:name="package-components"/>
    <w:p>
      <w:pPr>
        <w:pStyle w:val="Heading2"/>
      </w:pPr>
      <w:r>
        <w:t xml:space="preserve">5.1 4.1 Package Components</w:t>
      </w:r>
    </w:p>
    <w:p>
      <w:pPr>
        <w:pStyle w:val="FirstParagraph"/>
      </w:pPr>
      <w:r>
        <w:t xml:space="preserve">The agency RMF authorization package (ConMon evidence modeled on the FedRAMP</w:t>
      </w:r>
      <w:r>
        <w:t xml:space="preserve"> </w:t>
      </w:r>
      <w:r>
        <w:t xml:space="preserve">20x KSI schema) has a simpler evidence structure than a traditional package:</w:t>
      </w:r>
      <w:r>
        <w:t xml:space="preserve"> </w:t>
      </w:r>
      <w:r>
        <w:t xml:space="preserve">the 20x KSI-evidence model replaces the ~323-control Rev 5 Moderate baseline audit binder for the CSOs</w:t>
      </w:r>
      <w:r>
        <w:t xml:space="preserve"> </w:t>
      </w:r>
      <w:r>
        <w:t xml:space="preserve">Agency inherits, and this package adopts the same machine-readable model for the</w:t>
      </w:r>
      <w:r>
        <w:t xml:space="preserve"> </w:t>
      </w:r>
      <w:r>
        <w:t xml:space="preserve">agency’s own ConMon evidence. The authorization package consists of:</w:t>
      </w:r>
    </w:p>
    <w:p>
      <w:pPr>
        <w:pStyle w:val="TableCaption"/>
      </w:pPr>
      <w:r>
        <w:t xml:space="preserve">Agency Authorization Package — Component Index</w:t>
      </w:r>
    </w:p>
    <w:tbl>
      <w:tblPr>
        <w:tblStyle w:val="Table"/>
        <w:tblW w:type="pct" w:w="5000"/>
        <w:tblLayout w:type="fixed"/>
        <w:tblLook w:firstRow="1" w:lastRow="0" w:firstColumn="0" w:lastColumn="0" w:noHBand="0" w:noVBand="0" w:val="0020"/>
        <w:tblCaption w:val="Agency Authorization Package — Component Index"/>
      </w:tblPr>
      <w:tblGrid>
        <w:gridCol w:w="3226"/>
        <w:gridCol w:w="2346"/>
        <w:gridCol w:w="2346"/>
      </w:tblGrid>
      <w:tr>
        <w:trPr>
          <w:tblHeader w:val="on"/>
        </w:trPr>
        <w:tc>
          <w:tcPr/>
          <w:p>
            <w:pPr>
              <w:pStyle w:val="Compact"/>
            </w:pPr>
            <w:r>
              <w:t xml:space="preserve">Component</w:t>
            </w:r>
          </w:p>
        </w:tc>
        <w:tc>
          <w:tcPr/>
          <w:p>
            <w:pPr>
              <w:pStyle w:val="Compact"/>
            </w:pPr>
            <w:r>
              <w:t xml:space="preserve">Format</w:t>
            </w:r>
          </w:p>
        </w:tc>
        <w:tc>
          <w:tcPr/>
          <w:p>
            <w:pPr>
              <w:pStyle w:val="Compact"/>
            </w:pPr>
            <w:r>
              <w:t xml:space="preserve">Source</w:t>
            </w:r>
          </w:p>
        </w:tc>
      </w:tr>
      <w:tr>
        <w:tc>
          <w:tcPr/>
          <w:p>
            <w:pPr>
              <w:pStyle w:val="Compact"/>
            </w:pPr>
            <w:r>
              <w:t xml:space="preserve">System Security Plan (SSP)</w:t>
            </w:r>
          </w:p>
        </w:tc>
        <w:tc>
          <w:tcPr/>
          <w:p>
            <w:pPr>
              <w:pStyle w:val="Compact"/>
            </w:pPr>
            <w:r>
              <w:t xml:space="preserve">OSCAL JSON</w:t>
            </w:r>
          </w:p>
        </w:tc>
        <w:tc>
          <w:tcPr/>
          <w:p>
            <w:pPr>
              <w:pStyle w:val="Compact"/>
            </w:pPr>
            <w:r>
              <w:rPr>
                <w:rStyle w:val="VerbatimChar"/>
              </w:rPr>
              <w:t xml:space="preserve">&lt;engine&gt; generate ssp</w:t>
            </w:r>
            <w:r>
              <w:t xml:space="preserve"> </w:t>
            </w:r>
            <w:r>
              <w:t xml:space="preserve">(Vol I Book 01 architecture as baseline)</w:t>
            </w:r>
          </w:p>
        </w:tc>
      </w:tr>
      <w:tr>
        <w:tc>
          <w:tcPr/>
          <w:p>
            <w:pPr>
              <w:pStyle w:val="Compact"/>
            </w:pPr>
            <w:r>
              <w:t xml:space="preserve">KSI Assessment Plan (AP)</w:t>
            </w:r>
          </w:p>
        </w:tc>
        <w:tc>
          <w:tcPr/>
          <w:p>
            <w:pPr>
              <w:pStyle w:val="Compact"/>
            </w:pPr>
            <w:r>
              <w:t xml:space="preserve">OSCAL JSON</w:t>
            </w:r>
          </w:p>
        </w:tc>
        <w:tc>
          <w:tcPr/>
          <w:p>
            <w:pPr>
              <w:pStyle w:val="Compact"/>
            </w:pPr>
            <w:r>
              <w:rPr>
                <w:rStyle w:val="VerbatimChar"/>
              </w:rPr>
              <w:t xml:space="preserve">output/artifacts/ksi-bundle/ksi-ap.json</w:t>
            </w:r>
          </w:p>
        </w:tc>
      </w:tr>
      <w:tr>
        <w:tc>
          <w:tcPr/>
          <w:p>
            <w:pPr>
              <w:pStyle w:val="Compact"/>
            </w:pPr>
            <w:r>
              <w:t xml:space="preserve">KSI Assessment Results (AR)</w:t>
            </w:r>
          </w:p>
        </w:tc>
        <w:tc>
          <w:tcPr/>
          <w:p>
            <w:pPr>
              <w:pStyle w:val="Compact"/>
            </w:pPr>
            <w:r>
              <w:t xml:space="preserve">OSCAL JSON</w:t>
            </w:r>
          </w:p>
        </w:tc>
        <w:tc>
          <w:tcPr/>
          <w:p>
            <w:pPr>
              <w:pStyle w:val="Compact"/>
            </w:pPr>
            <w:r>
              <w:rPr>
                <w:rStyle w:val="VerbatimChar"/>
              </w:rPr>
              <w:t xml:space="preserve">output/artifacts/ksi-bundle/ksi-ar.json</w:t>
            </w:r>
          </w:p>
        </w:tc>
      </w:tr>
      <w:tr>
        <w:tc>
          <w:tcPr/>
          <w:p>
            <w:pPr>
              <w:pStyle w:val="Compact"/>
            </w:pPr>
            <w:r>
              <w:t xml:space="preserve">Plan of Action &amp; Milestones</w:t>
            </w:r>
          </w:p>
        </w:tc>
        <w:tc>
          <w:tcPr/>
          <w:p>
            <w:pPr>
              <w:pStyle w:val="Compact"/>
            </w:pPr>
            <w:r>
              <w:t xml:space="preserve">OSCAL JSON</w:t>
            </w:r>
          </w:p>
        </w:tc>
        <w:tc>
          <w:tcPr/>
          <w:p>
            <w:pPr>
              <w:pStyle w:val="Compact"/>
            </w:pPr>
            <w:r>
              <w:rPr>
                <w:rStyle w:val="VerbatimChar"/>
              </w:rPr>
              <w:t xml:space="preserve">output/artifacts/ksi-bundle/ksi-poam.json</w:t>
            </w:r>
          </w:p>
        </w:tc>
      </w:tr>
      <w:tr>
        <w:tc>
          <w:tcPr/>
          <w:p>
            <w:pPr>
              <w:pStyle w:val="Compact"/>
            </w:pPr>
            <w:r>
              <w:t xml:space="preserve">Compliance Evidence Book Series</w:t>
            </w:r>
          </w:p>
        </w:tc>
        <w:tc>
          <w:tcPr/>
          <w:p>
            <w:pPr>
              <w:pStyle w:val="Compact"/>
            </w:pPr>
            <w:r>
              <w:t xml:space="preserve">DOCX</w:t>
            </w:r>
          </w:p>
        </w:tc>
        <w:tc>
          <w:tcPr/>
          <w:p>
            <w:pPr>
              <w:pStyle w:val="Compact"/>
            </w:pPr>
            <w:r>
              <w:t xml:space="preserve">the preceding twenty-two content books, Volumes I–IV (docs/customer-documents/federal-compliance-series/)</w:t>
            </w:r>
          </w:p>
        </w:tc>
      </w:tr>
      <w:tr>
        <w:tc>
          <w:tcPr/>
          <w:p>
            <w:pPr>
              <w:pStyle w:val="Compact"/>
            </w:pPr>
            <w:r>
              <w:t xml:space="preserve">BOD 26-04 VDR Submission</w:t>
            </w:r>
          </w:p>
        </w:tc>
        <w:tc>
          <w:tcPr/>
          <w:p>
            <w:pPr>
              <w:pStyle w:val="Compact"/>
            </w:pPr>
            <w:r>
              <w:t xml:space="preserve">CycloneDX 1.6 JSON</w:t>
            </w:r>
          </w:p>
        </w:tc>
        <w:tc>
          <w:tcPr/>
          <w:p>
            <w:pPr>
              <w:pStyle w:val="Compact"/>
            </w:pPr>
            <w:r>
              <w:t xml:space="preserve">Vol IV Book 02 SBOM pipeline</w:t>
            </w:r>
          </w:p>
        </w:tc>
      </w:tr>
      <w:tr>
        <w:tc>
          <w:tcPr/>
          <w:p>
            <w:pPr>
              <w:pStyle w:val="Compact"/>
            </w:pPr>
            <w:r>
              <w:t xml:space="preserve">Training Effectiveness Record</w:t>
            </w:r>
          </w:p>
        </w:tc>
        <w:tc>
          <w:tcPr/>
          <w:p>
            <w:pPr>
              <w:pStyle w:val="Compact"/>
            </w:pPr>
            <w:r>
              <w:t xml:space="preserve">JSON</w:t>
            </w:r>
          </w:p>
        </w:tc>
        <w:tc>
          <w:tcPr/>
          <w:p>
            <w:pPr>
              <w:pStyle w:val="Compact"/>
            </w:pPr>
            <w:r>
              <w:rPr>
                <w:rStyle w:val="VerbatimChar"/>
              </w:rPr>
              <w:t xml:space="preserve">governance.training-effectiveness-record</w:t>
            </w:r>
            <w:r>
              <w:t xml:space="preserve"> </w:t>
            </w:r>
            <w:r>
              <w:t xml:space="preserve">(Vol IV Book 05)</w:t>
            </w:r>
          </w:p>
        </w:tc>
      </w:tr>
    </w:tbl>
    <w:bookmarkEnd w:id="29"/>
    <w:bookmarkStart w:id="30" w:name="authorization-timeline"/>
    <w:p>
      <w:pPr>
        <w:pStyle w:val="Heading2"/>
      </w:pPr>
      <w:r>
        <w:t xml:space="preserve">5.2 4.2 Authorization Timeline</w:t>
      </w:r>
    </w:p>
    <w:p>
      <w:pPr>
        <w:pStyle w:val="TableCaption"/>
      </w:pPr>
      <w:r>
        <w:t xml:space="preserve">Authorization Timeline</w:t>
      </w:r>
    </w:p>
    <w:tbl>
      <w:tblPr>
        <w:tblStyle w:val="Table"/>
        <w:tblW w:type="pct" w:w="5000"/>
        <w:tblLayout w:type="fixed"/>
        <w:tblLook w:firstRow="1" w:lastRow="0" w:firstColumn="0" w:lastColumn="0" w:noHBand="0" w:noVBand="0" w:val="0020"/>
        <w:tblCaption w:val="Authorization Timeline"/>
      </w:tblPr>
      <w:tblGrid>
        <w:gridCol w:w="3484"/>
        <w:gridCol w:w="1900"/>
        <w:gridCol w:w="2534"/>
      </w:tblGrid>
      <w:tr>
        <w:trPr>
          <w:tblHeader w:val="on"/>
        </w:trPr>
        <w:tc>
          <w:tcPr/>
          <w:p>
            <w:pPr>
              <w:pStyle w:val="Compact"/>
            </w:pPr>
            <w:r>
              <w:t xml:space="preserve">Milestone</w:t>
            </w:r>
          </w:p>
        </w:tc>
        <w:tc>
          <w:tcPr/>
          <w:p>
            <w:pPr>
              <w:pStyle w:val="Compact"/>
            </w:pPr>
            <w:r>
              <w:t xml:space="preserve">Date</w:t>
            </w:r>
          </w:p>
        </w:tc>
        <w:tc>
          <w:tcPr/>
          <w:p>
            <w:pPr>
              <w:pStyle w:val="Compact"/>
            </w:pPr>
            <w:r>
              <w:t xml:space="preserve">Status</w:t>
            </w:r>
          </w:p>
        </w:tc>
      </w:tr>
      <w:tr>
        <w:tc>
          <w:tcPr/>
          <w:p>
            <w:pPr>
              <w:pStyle w:val="Compact"/>
            </w:pPr>
            <w:r>
              <w:t xml:space="preserve">FedRAMP 20x Class A opens (CSO pipeline — inherited providers)</w:t>
            </w:r>
          </w:p>
        </w:tc>
        <w:tc>
          <w:tcPr/>
          <w:p>
            <w:pPr>
              <w:pStyle w:val="Compact"/>
            </w:pPr>
            <w:r>
              <w:t xml:space="preserve">Aug 3, 2026</w:t>
            </w:r>
          </w:p>
        </w:tc>
        <w:tc>
          <w:tcPr/>
          <w:p>
            <w:pPr>
              <w:pStyle w:val="Compact"/>
            </w:pPr>
            <w:r>
              <w:t xml:space="preserve">Upcoming</w:t>
            </w:r>
          </w:p>
        </w:tc>
      </w:tr>
      <w:tr>
        <w:tc>
          <w:tcPr/>
          <w:p>
            <w:pPr>
              <w:pStyle w:val="Compact"/>
            </w:pPr>
            <w:r>
              <w:t xml:space="preserve">FedRAMP 20x Class B + C opens (CSO pipeline — inherited providers)</w:t>
            </w:r>
          </w:p>
        </w:tc>
        <w:tc>
          <w:tcPr/>
          <w:p>
            <w:pPr>
              <w:pStyle w:val="Compact"/>
            </w:pPr>
            <w:r>
              <w:t xml:space="preserve">Aug 31, 2026</w:t>
            </w:r>
          </w:p>
        </w:tc>
        <w:tc>
          <w:tcPr/>
          <w:p>
            <w:pPr>
              <w:pStyle w:val="Compact"/>
            </w:pPr>
            <w:r>
              <w:t xml:space="preserve">Upcoming</w:t>
            </w:r>
          </w:p>
        </w:tc>
      </w:tr>
      <w:tr>
        <w:tc>
          <w:tcPr/>
          <w:p>
            <w:pPr>
              <w:pStyle w:val="Compact"/>
            </w:pPr>
            <w:r>
              <w:t xml:space="preserve">BOD 26-04 VDR/VER deadline (CISA submission)</w:t>
            </w:r>
          </w:p>
        </w:tc>
        <w:tc>
          <w:tcPr/>
          <w:p>
            <w:pPr>
              <w:pStyle w:val="Compact"/>
            </w:pPr>
            <w:r>
              <w:rPr>
                <w:b/>
                <w:bCs/>
              </w:rPr>
              <w:t xml:space="preserve">Dec 7, 2026</w:t>
            </w:r>
          </w:p>
        </w:tc>
        <w:tc>
          <w:tcPr/>
          <w:p>
            <w:pPr>
              <w:pStyle w:val="Compact"/>
            </w:pPr>
            <w:r>
              <w:rPr>
                <w:b/>
                <w:bCs/>
              </w:rPr>
              <w:t xml:space="preserve">Hard deadline</w:t>
            </w:r>
          </w:p>
        </w:tc>
      </w:tr>
      <w:tr>
        <w:tc>
          <w:tcPr/>
          <w:p>
            <w:pPr>
              <w:pStyle w:val="Compact"/>
            </w:pPr>
            <w:r>
              <w:t xml:space="preserve">FedRAMP 20x mandatory for inherited CSO authorizations</w:t>
            </w:r>
          </w:p>
        </w:tc>
        <w:tc>
          <w:tcPr/>
          <w:p>
            <w:pPr>
              <w:pStyle w:val="Compact"/>
            </w:pPr>
            <w:r>
              <w:t xml:space="preserve">Jan 1, 2027</w:t>
            </w:r>
          </w:p>
        </w:tc>
        <w:tc>
          <w:tcPr/>
          <w:p>
            <w:pPr>
              <w:pStyle w:val="Compact"/>
            </w:pPr>
            <w:r>
              <w:t xml:space="preserve">Mandatory</w:t>
            </w:r>
          </w:p>
        </w:tc>
      </w:tr>
      <w:tr>
        <w:tc>
          <w:tcPr/>
          <w:p>
            <w:pPr>
              <w:pStyle w:val="Compact"/>
            </w:pPr>
            <w:r>
              <w:t xml:space="preserve">Present authorization package to Agency AO</w:t>
            </w:r>
          </w:p>
        </w:tc>
        <w:tc>
          <w:tcPr/>
          <w:p>
            <w:pPr>
              <w:pStyle w:val="Compact"/>
            </w:pPr>
            <w:r>
              <w:t xml:space="preserve">Nov–Dec 2026</w:t>
            </w:r>
          </w:p>
        </w:tc>
        <w:tc>
          <w:tcPr/>
          <w:p>
            <w:pPr>
              <w:pStyle w:val="Compact"/>
            </w:pPr>
            <w:r>
              <w:t xml:space="preserve">Planned</w:t>
            </w:r>
          </w:p>
        </w:tc>
      </w:tr>
      <w:tr>
        <w:tc>
          <w:tcPr/>
          <w:p>
            <w:pPr>
              <w:pStyle w:val="Compact"/>
            </w:pPr>
            <w:r>
              <w:t xml:space="preserve">Agency ATO decision expected</w:t>
            </w:r>
          </w:p>
        </w:tc>
        <w:tc>
          <w:tcPr/>
          <w:p>
            <w:pPr>
              <w:pStyle w:val="Compact"/>
            </w:pPr>
            <w:r>
              <w:t xml:space="preserve">Q1 2027</w:t>
            </w:r>
          </w:p>
        </w:tc>
        <w:tc>
          <w:tcPr/>
          <w:p>
            <w:pPr>
              <w:pStyle w:val="Compact"/>
            </w:pPr>
            <w:r>
              <w:t xml:space="preserve">Target</w:t>
            </w:r>
          </w:p>
        </w:tc>
      </w:tr>
    </w:tbl>
    <w:bookmarkEnd w:id="30"/>
    <w:bookmarkStart w:id="31" w:name="X375cb839b722f48475da0b72b146f138924ddd4"/>
    <w:p>
      <w:pPr>
        <w:pStyle w:val="Heading2"/>
      </w:pPr>
      <w:r>
        <w:t xml:space="preserve">5.3 4.3 Authorizing Official Package Review Checklist</w:t>
      </w:r>
    </w:p>
    <w:p>
      <w:pPr>
        <w:pStyle w:val="FirstParagraph"/>
      </w:pPr>
      <w:r>
        <w:t xml:space="preserve">Before the authorization decision, the Authorizing Official (AO) reviews:</w:t>
      </w:r>
    </w:p>
    <w:p>
      <w:pPr>
        <w:pStyle w:val="Compact"/>
        <w:numPr>
          <w:ilvl w:val="0"/>
          <w:numId w:val="1005"/>
        </w:numPr>
      </w:pPr>
      <w:r>
        <w:t xml:space="preserve">All 29 KSI rules self-assessed as satisfied in current AR (zero open risks); independent SCA scheduled</w:t>
      </w:r>
    </w:p>
    <w:p>
      <w:pPr>
        <w:pStyle w:val="Compact"/>
        <w:numPr>
          <w:ilvl w:val="0"/>
          <w:numId w:val="1006"/>
        </w:numPr>
      </w:pPr>
      <w:r>
        <w:t xml:space="preserve">POA&amp;M is empty or all items have approved milestones</w:t>
      </w:r>
    </w:p>
    <w:p>
      <w:pPr>
        <w:pStyle w:val="Compact"/>
        <w:numPr>
          <w:ilvl w:val="0"/>
          <w:numId w:val="1007"/>
        </w:numPr>
      </w:pPr>
      <w:r>
        <w:t xml:space="preserve">BOD 26-04 VDR submission filed by December 7, 2026</w:t>
      </w:r>
    </w:p>
    <w:p>
      <w:pPr>
        <w:pStyle w:val="Compact"/>
        <w:numPr>
          <w:ilvl w:val="0"/>
          <w:numId w:val="1008"/>
        </w:numPr>
      </w:pPr>
      <w:r>
        <w:t xml:space="preserve">Training effectiveness record dated within the last 12 months</w:t>
      </w:r>
    </w:p>
    <w:p>
      <w:pPr>
        <w:pStyle w:val="Compact"/>
        <w:numPr>
          <w:ilvl w:val="0"/>
          <w:numId w:val="1009"/>
        </w:numPr>
      </w:pPr>
      <w:r>
        <w:t xml:space="preserve">SBOM generated within the last 90 days (Syft + Grype pipeline)</w:t>
      </w:r>
    </w:p>
    <w:p>
      <w:pPr>
        <w:pStyle w:val="Compact"/>
        <w:numPr>
          <w:ilvl w:val="0"/>
          <w:numId w:val="1010"/>
        </w:numPr>
      </w:pPr>
      <w:r>
        <w:t xml:space="preserve">ConMon dashboard accessible in Sentinel (AU-6, SI-4 evidence)</w:t>
      </w:r>
    </w:p>
    <w:p>
      <w:pPr>
        <w:pStyle w:val="Compact"/>
        <w:numPr>
          <w:ilvl w:val="0"/>
          <w:numId w:val="1011"/>
        </w:numPr>
      </w:pPr>
      <w:r>
        <w:t xml:space="preserve">Contingency plan tabletop conducted within the last 12 months (CP-3)</w:t>
      </w:r>
    </w:p>
    <w:p>
      <w:pPr>
        <w:pStyle w:val="Compact"/>
        <w:numPr>
          <w:ilvl w:val="0"/>
          <w:numId w:val="1012"/>
        </w:numPr>
      </w:pPr>
      <w:r>
        <w:t xml:space="preserve">IR drill conducted within the last 6 months (IR-2)</w:t>
      </w:r>
    </w:p>
    <w:p>
      <w:pPr>
        <w:pStyle w:val="Compact"/>
        <w:numPr>
          <w:ilvl w:val="0"/>
          <w:numId w:val="1013"/>
        </w:numPr>
      </w:pPr>
      <w:r>
        <w:t xml:space="preserve">PM-14 T&amp;T&amp;M plan current and signed by ISSM</w:t>
      </w:r>
    </w:p>
    <w:p>
      <w:r>
        <w:pict>
          <v:rect style="width:0;height:1.5pt" o:hralign="center" o:hrstd="t" o:hr="t"/>
        </w:pict>
      </w:r>
    </w:p>
    <w:bookmarkEnd w:id="31"/>
    <w:bookmarkEnd w:id="32"/>
    <w:bookmarkStart w:id="38" w:name="bod-26-04-vdrver-submission-sr-11-sa-15"/>
    <w:p>
      <w:pPr>
        <w:pStyle w:val="Heading1"/>
      </w:pPr>
      <w:r>
        <w:t xml:space="preserve">6. 5 BOD 26-04 VDR/VER Submission (SR-11, SA-15)</w:t>
      </w:r>
    </w:p>
    <w:bookmarkStart w:id="33" w:name="bod-26-04-overview"/>
    <w:p>
      <w:pPr>
        <w:pStyle w:val="Heading2"/>
      </w:pPr>
      <w:r>
        <w:t xml:space="preserve">6.1 5.1 BOD 26-04 Overview</w:t>
      </w:r>
    </w:p>
    <w:p>
      <w:pPr>
        <w:pStyle w:val="FirstParagraph"/>
      </w:pPr>
      <w:r>
        <w:t xml:space="preserve">Binding Operational Directive 26-04 requires all federal agencies to:</w:t>
      </w:r>
    </w:p>
    <w:p>
      <w:pPr>
        <w:pStyle w:val="Compact"/>
        <w:numPr>
          <w:ilvl w:val="0"/>
          <w:numId w:val="1014"/>
        </w:numPr>
      </w:pPr>
      <w:r>
        <w:rPr>
          <w:b/>
          <w:bCs/>
        </w:rPr>
        <w:t xml:space="preserve">Maintain an SBOM</w:t>
      </w:r>
      <w:r>
        <w:t xml:space="preserve"> </w:t>
      </w:r>
      <w:r>
        <w:t xml:space="preserve">for all software in production by December 7, 2026</w:t>
      </w:r>
    </w:p>
    <w:p>
      <w:pPr>
        <w:pStyle w:val="Compact"/>
        <w:numPr>
          <w:ilvl w:val="0"/>
          <w:numId w:val="1014"/>
        </w:numPr>
      </w:pPr>
      <w:r>
        <w:rPr>
          <w:b/>
          <w:bCs/>
        </w:rPr>
        <w:t xml:space="preserve">File a Vulnerability Disclosure Report (VDR)</w:t>
      </w:r>
      <w:r>
        <w:t xml:space="preserve"> </w:t>
      </w:r>
      <w:r>
        <w:t xml:space="preserve">for each SBOM component with known CVEs</w:t>
      </w:r>
    </w:p>
    <w:p>
      <w:pPr>
        <w:pStyle w:val="Compact"/>
        <w:numPr>
          <w:ilvl w:val="0"/>
          <w:numId w:val="1014"/>
        </w:numPr>
      </w:pPr>
      <w:r>
        <w:rPr>
          <w:b/>
          <w:bCs/>
        </w:rPr>
        <w:t xml:space="preserve">File a Vulnerability Exploitability Report (VER)</w:t>
      </w:r>
      <w:r>
        <w:t xml:space="preserve"> </w:t>
      </w:r>
      <w:r>
        <w:t xml:space="preserve">(OpenVEX) for each CVE above CVSS 7.0</w:t>
      </w:r>
    </w:p>
    <w:p>
      <w:pPr>
        <w:pStyle w:val="Compact"/>
        <w:numPr>
          <w:ilvl w:val="0"/>
          <w:numId w:val="1014"/>
        </w:numPr>
      </w:pPr>
      <w:r>
        <w:rPr>
          <w:b/>
          <w:bCs/>
        </w:rPr>
        <w:t xml:space="preserve">Demonstrate continuous SBOM monitoring</w:t>
      </w:r>
      <w:r>
        <w:t xml:space="preserve"> </w:t>
      </w:r>
      <w:r>
        <w:t xml:space="preserve">via an automated pipeline</w:t>
      </w:r>
    </w:p>
    <w:p>
      <w:pPr>
        <w:pStyle w:val="FirstParagraph"/>
      </w:pPr>
      <w:r>
        <w:t xml:space="preserve">Vol IV Book 02 of this series established the VDR/VER framework. This section</w:t>
      </w:r>
      <w:r>
        <w:t xml:space="preserve"> </w:t>
      </w:r>
      <w:r>
        <w:t xml:space="preserve">documents the submission procedure.</w:t>
      </w:r>
    </w:p>
    <w:bookmarkEnd w:id="33"/>
    <w:bookmarkStart w:id="36" w:name="sbom-artifact-chain"/>
    <w:p>
      <w:pPr>
        <w:pStyle w:val="Heading2"/>
      </w:pPr>
      <w:r>
        <w:t xml:space="preserve">6.2 5.2 SBOM Artifact Chain</w:t>
      </w:r>
    </w:p>
    <w:p>
      <w:pPr>
        <w:pStyle w:val="FirstParagraph"/>
      </w:pPr>
      <w:r>
        <w:t xml:space="preserve">The SBOM pipeline (from Vol IV Book 02) produces a chain of machine-readable artifacts:</w:t>
      </w:r>
    </w:p>
    <w:p>
      <w:pPr>
        <w:pStyle w:val="SourceCode"/>
      </w:pPr>
      <w:r>
        <w:rPr>
          <w:rStyle w:val="VerbatimChar"/>
        </w:rPr>
        <w:t xml:space="preserve">1. Syft scan → CycloneDX 1.6 JSON (component inventory)</w:t>
      </w:r>
      <w:r>
        <w:br/>
      </w:r>
      <w:r>
        <w:rPr>
          <w:rStyle w:val="VerbatimChar"/>
        </w:rPr>
        <w:t xml:space="preserve"> ↓</w:t>
      </w:r>
      <w:r>
        <w:br/>
      </w:r>
      <w:r>
        <w:rPr>
          <w:rStyle w:val="VerbatimChar"/>
        </w:rPr>
        <w:t xml:space="preserve">2. Grype scan → Vulnerability findings against NVD + CISA KEV</w:t>
      </w:r>
      <w:r>
        <w:br/>
      </w:r>
      <w:r>
        <w:rPr>
          <w:rStyle w:val="VerbatimChar"/>
        </w:rPr>
        <w:t xml:space="preserve"> ↓</w:t>
      </w:r>
      <w:r>
        <w:br/>
      </w:r>
      <w:r>
        <w:rPr>
          <w:rStyle w:val="VerbatimChar"/>
        </w:rPr>
        <w:t xml:space="preserve">3. OpenVEX statements → VEX analysis (exploitability assessment)</w:t>
      </w:r>
      <w:r>
        <w:br/>
      </w:r>
      <w:r>
        <w:rPr>
          <w:rStyle w:val="VerbatimChar"/>
        </w:rPr>
        <w:t xml:space="preserve"> ↓</w:t>
      </w:r>
      <w:r>
        <w:br/>
      </w:r>
      <w:r>
        <w:rPr>
          <w:rStyle w:val="VerbatimChar"/>
        </w:rPr>
        <w:t xml:space="preserve">4. VDR submission package → CISA VEX Portal or email submission</w:t>
      </w:r>
    </w:p>
    <w:bookmarkStart w:id="34" w:name="running-the-sbom-pipeline"/>
    <w:p>
      <w:pPr>
        <w:pStyle w:val="Heading3"/>
      </w:pPr>
      <w:r>
        <w:t xml:space="preserve">6.2.1 5.2.1 Running the SBOM Pipeline</w:t>
      </w:r>
    </w:p>
    <w:p>
      <w:pPr>
        <w:pStyle w:val="SourceCode"/>
      </w:pPr>
      <w:r>
        <w:rPr>
          <w:rStyle w:val="CommentTok"/>
        </w:rPr>
        <w:t xml:space="preserve"># Step 1: Generate SBOM (run against each production container/package)</w:t>
      </w:r>
      <w:r>
        <w:br/>
      </w:r>
      <w:r>
        <w:rPr>
          <w:rStyle w:val="ExtensionTok"/>
        </w:rPr>
        <w:t xml:space="preserve">syft</w:t>
      </w:r>
      <w:r>
        <w:rPr>
          <w:rStyle w:val="NormalTok"/>
        </w:rPr>
        <w:t xml:space="preserve"> packages . </w:t>
      </w:r>
      <w:r>
        <w:rPr>
          <w:rStyle w:val="AttributeTok"/>
        </w:rPr>
        <w:t xml:space="preserve">-o</w:t>
      </w:r>
      <w:r>
        <w:rPr>
          <w:rStyle w:val="NormalTok"/>
        </w:rPr>
        <w:t xml:space="preserve"> cyclonedx-json=sbom-</w:t>
      </w:r>
      <w:r>
        <w:rPr>
          <w:rStyle w:val="VariableTok"/>
        </w:rPr>
        <w:t xml:space="preserve">$(</w:t>
      </w:r>
      <w:r>
        <w:rPr>
          <w:rStyle w:val="FunctionTok"/>
        </w:rPr>
        <w:t xml:space="preserve">date</w:t>
      </w:r>
      <w:r>
        <w:rPr>
          <w:rStyle w:val="NormalTok"/>
        </w:rPr>
        <w:t xml:space="preserve"> +%Y%m%d</w:t>
      </w:r>
      <w:r>
        <w:rPr>
          <w:rStyle w:val="VariableTok"/>
        </w:rPr>
        <w:t xml:space="preserve">)</w:t>
      </w:r>
      <w:r>
        <w:rPr>
          <w:rStyle w:val="NormalTok"/>
        </w:rPr>
        <w:t xml:space="preserve">.json</w:t>
      </w:r>
      <w:r>
        <w:br/>
      </w:r>
      <w:r>
        <w:br/>
      </w:r>
      <w:r>
        <w:rPr>
          <w:rStyle w:val="CommentTok"/>
        </w:rPr>
        <w:t xml:space="preserve"># Step 2: Scan for vulnerabilities</w:t>
      </w:r>
      <w:r>
        <w:br/>
      </w:r>
      <w:r>
        <w:rPr>
          <w:rStyle w:val="ExtensionTok"/>
        </w:rPr>
        <w:t xml:space="preserve">grype</w:t>
      </w:r>
      <w:r>
        <w:rPr>
          <w:rStyle w:val="NormalTok"/>
        </w:rPr>
        <w:t xml:space="preserve"> sbom:sbom-</w:t>
      </w:r>
      <w:r>
        <w:rPr>
          <w:rStyle w:val="VariableTok"/>
        </w:rPr>
        <w:t xml:space="preserve">$(</w:t>
      </w:r>
      <w:r>
        <w:rPr>
          <w:rStyle w:val="FunctionTok"/>
        </w:rPr>
        <w:t xml:space="preserve">date</w:t>
      </w:r>
      <w:r>
        <w:rPr>
          <w:rStyle w:val="NormalTok"/>
        </w:rPr>
        <w:t xml:space="preserve"> +%Y%m%d</w:t>
      </w:r>
      <w:r>
        <w:rPr>
          <w:rStyle w:val="VariableTok"/>
        </w:rPr>
        <w:t xml:space="preserve">)</w:t>
      </w:r>
      <w:r>
        <w:rPr>
          <w:rStyle w:val="NormalTok"/>
        </w:rPr>
        <w:t xml:space="preserve">.json </w:t>
      </w:r>
      <w:r>
        <w:rPr>
          <w:rStyle w:val="AttributeTok"/>
        </w:rPr>
        <w:t xml:space="preserve">-o</w:t>
      </w:r>
      <w:r>
        <w:rPr>
          <w:rStyle w:val="NormalTok"/>
        </w:rPr>
        <w:t xml:space="preserve"> json </w:t>
      </w:r>
      <w:r>
        <w:rPr>
          <w:rStyle w:val="OperatorTok"/>
        </w:rPr>
        <w:t xml:space="preserve">&gt;</w:t>
      </w:r>
      <w:r>
        <w:rPr>
          <w:rStyle w:val="NormalTok"/>
        </w:rPr>
        <w:t xml:space="preserve"> vuln-</w:t>
      </w:r>
      <w:r>
        <w:rPr>
          <w:rStyle w:val="VariableTok"/>
        </w:rPr>
        <w:t xml:space="preserve">$(</w:t>
      </w:r>
      <w:r>
        <w:rPr>
          <w:rStyle w:val="FunctionTok"/>
        </w:rPr>
        <w:t xml:space="preserve">date</w:t>
      </w:r>
      <w:r>
        <w:rPr>
          <w:rStyle w:val="NormalTok"/>
        </w:rPr>
        <w:t xml:space="preserve"> +%Y%m%d</w:t>
      </w:r>
      <w:r>
        <w:rPr>
          <w:rStyle w:val="VariableTok"/>
        </w:rPr>
        <w:t xml:space="preserve">)</w:t>
      </w:r>
      <w:r>
        <w:rPr>
          <w:rStyle w:val="NormalTok"/>
        </w:rPr>
        <w:t xml:space="preserve">.json</w:t>
      </w:r>
      <w:r>
        <w:br/>
      </w:r>
      <w:r>
        <w:br/>
      </w:r>
      <w:r>
        <w:rPr>
          <w:rStyle w:val="CommentTok"/>
        </w:rPr>
        <w:t xml:space="preserve"># Step 3: Generate VEX statements for High/Critical CVEs</w:t>
      </w:r>
      <w:r>
        <w:br/>
      </w:r>
      <w:r>
        <w:rPr>
          <w:rStyle w:val="CommentTok"/>
        </w:rPr>
        <w:t xml:space="preserve"># For each CVE with CVSS &gt;= 7.0, create an OpenVEX statement:</w:t>
      </w:r>
      <w:r>
        <w:br/>
      </w:r>
      <w:r>
        <w:rPr>
          <w:rStyle w:val="ExtensionTok"/>
        </w:rPr>
        <w:t xml:space="preserve">vexctl</w:t>
      </w:r>
      <w:r>
        <w:rPr>
          <w:rStyle w:val="NormalTok"/>
        </w:rPr>
        <w:t xml:space="preserve"> create </w:t>
      </w:r>
      <w:r>
        <w:rPr>
          <w:rStyle w:val="DataTypeTok"/>
        </w:rPr>
        <w:t xml:space="preserve">\</w:t>
      </w:r>
      <w:r>
        <w:br/>
      </w:r>
      <w:r>
        <w:rPr>
          <w:rStyle w:val="NormalTok"/>
        </w:rPr>
        <w:t xml:space="preserve"> </w:t>
      </w:r>
      <w:r>
        <w:rPr>
          <w:rStyle w:val="AttributeTok"/>
        </w:rPr>
        <w:t xml:space="preserve">--author</w:t>
      </w:r>
      <w:r>
        <w:rPr>
          <w:rStyle w:val="NormalTok"/>
        </w:rPr>
        <w:t xml:space="preserve"> </w:t>
      </w:r>
      <w:r>
        <w:rPr>
          <w:rStyle w:val="StringTok"/>
        </w:rPr>
        <w:t xml:space="preserve">"Agency Cloud Services Team"</w:t>
      </w:r>
      <w:r>
        <w:rPr>
          <w:rStyle w:val="NormalTok"/>
        </w:rPr>
        <w:t xml:space="preserve"> </w:t>
      </w:r>
      <w:r>
        <w:rPr>
          <w:rStyle w:val="DataTypeTok"/>
        </w:rPr>
        <w:t xml:space="preserve">\</w:t>
      </w:r>
      <w:r>
        <w:br/>
      </w:r>
      <w:r>
        <w:rPr>
          <w:rStyle w:val="NormalTok"/>
        </w:rPr>
        <w:t xml:space="preserve"> </w:t>
      </w:r>
      <w:r>
        <w:rPr>
          <w:rStyle w:val="AttributeTok"/>
        </w:rPr>
        <w:t xml:space="preserve">--product</w:t>
      </w:r>
      <w:r>
        <w:rPr>
          <w:rStyle w:val="NormalTok"/>
        </w:rPr>
        <w:t xml:space="preserve"> </w:t>
      </w:r>
      <w:r>
        <w:rPr>
          <w:rStyle w:val="StringTok"/>
        </w:rPr>
        <w:t xml:space="preserve">"pkg:docker/ssa-gcc-moderate@1.0.0"</w:t>
      </w:r>
      <w:r>
        <w:rPr>
          <w:rStyle w:val="NormalTok"/>
        </w:rPr>
        <w:t xml:space="preserve"> </w:t>
      </w:r>
      <w:r>
        <w:rPr>
          <w:rStyle w:val="DataTypeTok"/>
        </w:rPr>
        <w:t xml:space="preserve">\</w:t>
      </w:r>
      <w:r>
        <w:br/>
      </w:r>
      <w:r>
        <w:rPr>
          <w:rStyle w:val="NormalTok"/>
        </w:rPr>
        <w:t xml:space="preserve"> </w:t>
      </w:r>
      <w:r>
        <w:rPr>
          <w:rStyle w:val="AttributeTok"/>
        </w:rPr>
        <w:t xml:space="preserve">--vuln</w:t>
      </w:r>
      <w:r>
        <w:rPr>
          <w:rStyle w:val="NormalTok"/>
        </w:rPr>
        <w:t xml:space="preserve"> </w:t>
      </w:r>
      <w:r>
        <w:rPr>
          <w:rStyle w:val="StringTok"/>
        </w:rPr>
        <w:t xml:space="preserve">"CVE-YYYY-NNNNN"</w:t>
      </w:r>
      <w:r>
        <w:rPr>
          <w:rStyle w:val="NormalTok"/>
        </w:rPr>
        <w:t xml:space="preserve"> </w:t>
      </w:r>
      <w:r>
        <w:rPr>
          <w:rStyle w:val="DataTypeTok"/>
        </w:rPr>
        <w:t xml:space="preserve">\</w:t>
      </w:r>
      <w:r>
        <w:br/>
      </w:r>
      <w:r>
        <w:rPr>
          <w:rStyle w:val="NormalTok"/>
        </w:rPr>
        <w:t xml:space="preserve"> </w:t>
      </w:r>
      <w:r>
        <w:rPr>
          <w:rStyle w:val="AttributeTok"/>
        </w:rPr>
        <w:t xml:space="preserve">--status</w:t>
      </w:r>
      <w:r>
        <w:rPr>
          <w:rStyle w:val="NormalTok"/>
        </w:rPr>
        <w:t xml:space="preserve"> </w:t>
      </w:r>
      <w:r>
        <w:rPr>
          <w:rStyle w:val="StringTok"/>
        </w:rPr>
        <w:t xml:space="preserve">"affected"</w:t>
      </w:r>
      <w:r>
        <w:rPr>
          <w:rStyle w:val="NormalTok"/>
        </w:rPr>
        <w:t xml:space="preserve"> </w:t>
      </w:r>
      <w:r>
        <w:rPr>
          <w:rStyle w:val="DataTypeTok"/>
        </w:rPr>
        <w:t xml:space="preserve">\</w:t>
      </w:r>
      <w:r>
        <w:br/>
      </w:r>
      <w:r>
        <w:rPr>
          <w:rStyle w:val="NormalTok"/>
        </w:rPr>
        <w:t xml:space="preserve"> </w:t>
      </w:r>
      <w:r>
        <w:rPr>
          <w:rStyle w:val="AttributeTok"/>
        </w:rPr>
        <w:t xml:space="preserve">--action-statement</w:t>
      </w:r>
      <w:r>
        <w:rPr>
          <w:rStyle w:val="NormalTok"/>
        </w:rPr>
        <w:t xml:space="preserve"> </w:t>
      </w:r>
      <w:r>
        <w:rPr>
          <w:rStyle w:val="StringTok"/>
        </w:rPr>
        <w:t xml:space="preserve">"Remediation in progress; tracked in POA&amp;M"</w:t>
      </w:r>
      <w:r>
        <w:rPr>
          <w:rStyle w:val="NormalTok"/>
        </w:rPr>
        <w:t xml:space="preserve"> </w:t>
      </w:r>
      <w:r>
        <w:rPr>
          <w:rStyle w:val="DataTypeTok"/>
        </w:rPr>
        <w:t xml:space="preserve">\</w:t>
      </w:r>
      <w:r>
        <w:br/>
      </w:r>
      <w:r>
        <w:rPr>
          <w:rStyle w:val="NormalTok"/>
        </w:rPr>
        <w:t xml:space="preserve"> sbom-</w:t>
      </w:r>
      <w:r>
        <w:rPr>
          <w:rStyle w:val="VariableTok"/>
        </w:rPr>
        <w:t xml:space="preserve">$(</w:t>
      </w:r>
      <w:r>
        <w:rPr>
          <w:rStyle w:val="FunctionTok"/>
        </w:rPr>
        <w:t xml:space="preserve">date</w:t>
      </w:r>
      <w:r>
        <w:rPr>
          <w:rStyle w:val="NormalTok"/>
        </w:rPr>
        <w:t xml:space="preserve"> +%Y%m%d</w:t>
      </w:r>
      <w:r>
        <w:rPr>
          <w:rStyle w:val="VariableTok"/>
        </w:rPr>
        <w:t xml:space="preserve">)</w:t>
      </w:r>
      <w:r>
        <w:rPr>
          <w:rStyle w:val="NormalTok"/>
        </w:rPr>
        <w:t xml:space="preserve">.json</w:t>
      </w:r>
    </w:p>
    <w:bookmarkEnd w:id="34"/>
    <w:bookmarkStart w:id="35" w:name="submission-to-cisa"/>
    <w:p>
      <w:pPr>
        <w:pStyle w:val="Heading3"/>
      </w:pPr>
      <w:r>
        <w:t xml:space="preserve">6.2.2 5.2.2 Submission to CISA</w:t>
      </w:r>
    </w:p>
    <w:p>
      <w:pPr>
        <w:pStyle w:val="FirstParagraph"/>
      </w:pPr>
      <w:r>
        <w:t xml:space="preserve">Per BOD 26-04, VDR/VER submissions go to:</w:t>
      </w:r>
      <w:r>
        <w:t xml:space="preserve"> </w:t>
      </w:r>
      <w:r>
        <w:t xml:space="preserve">-</w:t>
      </w:r>
      <w:r>
        <w:t xml:space="preserve"> </w:t>
      </w:r>
      <w:r>
        <w:rPr>
          <w:b/>
          <w:bCs/>
        </w:rPr>
        <w:t xml:space="preserve">Email</w:t>
      </w:r>
      <w:r>
        <w:t xml:space="preserve">: sbom@cisa.dhs.gov (VDR + VEX package as ZIP attachment)</w:t>
      </w:r>
      <w:r>
        <w:t xml:space="preserve"> </w:t>
      </w:r>
      <w:r>
        <w:t xml:space="preserve">-</w:t>
      </w:r>
      <w:r>
        <w:t xml:space="preserve"> </w:t>
      </w:r>
      <w:r>
        <w:rPr>
          <w:b/>
          <w:bCs/>
        </w:rPr>
        <w:t xml:space="preserve">Subject line</w:t>
      </w:r>
      <w:r>
        <w:t xml:space="preserve">:</w:t>
      </w:r>
      <w:r>
        <w:t xml:space="preserve"> </w:t>
      </w:r>
      <w:r>
        <w:rPr>
          <w:rStyle w:val="VerbatimChar"/>
        </w:rPr>
        <w:t xml:space="preserve">[AGENCY] BOD-26-04 VDR Submission — [System Name] — [Date]</w:t>
      </w:r>
      <w:r>
        <w:t xml:space="preserve"> </w:t>
      </w:r>
      <w:r>
        <w:t xml:space="preserve">-</w:t>
      </w:r>
      <w:r>
        <w:t xml:space="preserve"> </w:t>
      </w:r>
      <w:r>
        <w:rPr>
          <w:b/>
          <w:bCs/>
        </w:rPr>
        <w:t xml:space="preserve">Format</w:t>
      </w:r>
      <w:r>
        <w:t xml:space="preserve">: CycloneDX 1.6 JSON for SBOM; OpenVEX JSON for VEX statements</w:t>
      </w:r>
    </w:p>
    <w:p>
      <w:pPr>
        <w:pStyle w:val="BodyText"/>
      </w:pPr>
      <w:r>
        <w:t xml:space="preserve">The Vol IV Book 02</w:t>
      </w:r>
      <w:r>
        <w:t xml:space="preserve"> </w:t>
      </w:r>
      <w:r>
        <w:rPr>
          <w:rStyle w:val="VerbatimChar"/>
        </w:rPr>
        <w:t xml:space="preserve">vdr-submission-record.json</w:t>
      </w:r>
      <w:r>
        <w:t xml:space="preserve"> </w:t>
      </w:r>
      <w:r>
        <w:t xml:space="preserve">schema generates the cover document</w:t>
      </w:r>
      <w:r>
        <w:t xml:space="preserve"> </w:t>
      </w:r>
      <w:r>
        <w:t xml:space="preserve">automatically from the Syft/Grype pipeline output.</w:t>
      </w:r>
    </w:p>
    <w:bookmarkEnd w:id="35"/>
    <w:bookmarkEnd w:id="36"/>
    <w:bookmarkStart w:id="37" w:name="at-4-evidence-contract-currency"/>
    <w:p>
      <w:pPr>
        <w:pStyle w:val="Heading2"/>
      </w:pPr>
      <w:r>
        <w:t xml:space="preserve">6.3 5.3 AT-4 Evidence Contract Currency</w:t>
      </w:r>
    </w:p>
    <w:p>
      <w:pPr>
        <w:pStyle w:val="FirstParagraph"/>
      </w:pPr>
      <w:r>
        <w:t xml:space="preserve">The</w:t>
      </w:r>
      <w:r>
        <w:t xml:space="preserve"> </w:t>
      </w:r>
      <w:r>
        <w:rPr>
          <w:rStyle w:val="VerbatimChar"/>
        </w:rPr>
        <w:t xml:space="preserve">governance.training-effectiveness-record</w:t>
      </w:r>
      <w:r>
        <w:t xml:space="preserve"> </w:t>
      </w:r>
      <w:r>
        <w:t xml:space="preserve">(KSI-022 evidence) must be</w:t>
      </w:r>
      <w:r>
        <w:t xml:space="preserve"> </w:t>
      </w:r>
      <w:r>
        <w:t xml:space="preserve">current at the time of the AO’s ATO package review:</w:t>
      </w:r>
    </w:p>
    <w:p>
      <w:pPr>
        <w:pStyle w:val="SourceCode"/>
      </w:pPr>
      <w:r>
        <w:rPr>
          <w:rStyle w:val="CommentTok"/>
        </w:rPr>
        <w:t xml:space="preserve"># Verify training record is current (exported via the current LMS adapter —</w:t>
      </w:r>
      <w:r>
        <w:br/>
      </w:r>
      <w:r>
        <w:rPr>
          <w:rStyle w:val="CommentTok"/>
        </w:rPr>
        <w:t xml:space="preserve"># Viva Learning Graph API; the evidence contract is the LMS-agnostic JSON schema)</w:t>
      </w:r>
      <w:r>
        <w:br/>
      </w:r>
      <w:r>
        <w:rPr>
          <w:rStyle w:val="CommentTok"/>
        </w:rPr>
        <w:t xml:space="preserve"># Record must show: overall_completion_pct &gt;= 95.0, snapshot_date within 12 months</w:t>
      </w:r>
      <w:r>
        <w:br/>
      </w:r>
      <w:r>
        <w:rPr>
          <w:rStyle w:val="ExtensionTok"/>
        </w:rPr>
        <w:t xml:space="preserve">python3</w:t>
      </w:r>
      <w:r>
        <w:rPr>
          <w:rStyle w:val="NormalTok"/>
        </w:rPr>
        <w:t xml:space="preserve"> </w:t>
      </w:r>
      <w:r>
        <w:rPr>
          <w:rStyle w:val="AttributeTok"/>
        </w:rPr>
        <w:t xml:space="preserve">-c</w:t>
      </w:r>
      <w:r>
        <w:rPr>
          <w:rStyle w:val="NormalTok"/>
        </w:rPr>
        <w:t xml:space="preserve"> </w:t>
      </w:r>
      <w:r>
        <w:rPr>
          <w:rStyle w:val="StringTok"/>
        </w:rPr>
        <w:t xml:space="preserve">"</w:t>
      </w:r>
      <w:r>
        <w:br/>
      </w:r>
      <w:r>
        <w:rPr>
          <w:rStyle w:val="StringTok"/>
        </w:rPr>
        <w:t xml:space="preserve">import json</w:t>
      </w:r>
      <w:r>
        <w:br/>
      </w:r>
      <w:r>
        <w:rPr>
          <w:rStyle w:val="StringTok"/>
        </w:rPr>
        <w:t xml:space="preserve">record = json.load(open('governance.training-effectiveness-record.json'))</w:t>
      </w:r>
      <w:r>
        <w:br/>
      </w:r>
      <w:r>
        <w:rPr>
          <w:rStyle w:val="StringTok"/>
        </w:rPr>
        <w:t xml:space="preserve">assert record['overall_completion_pct'] &gt;= 95.0, 'Training completion below threshold'</w:t>
      </w:r>
      <w:r>
        <w:br/>
      </w:r>
      <w:r>
        <w:rPr>
          <w:rStyle w:val="StringTok"/>
        </w:rPr>
        <w:t xml:space="preserve">assert all(</w:t>
      </w:r>
      <w:r>
        <w:br/>
      </w:r>
      <w:r>
        <w:rPr>
          <w:rStyle w:val="StringTok"/>
        </w:rPr>
        <w:t xml:space="preserve"> t['tier_completion_pct'] &gt;= 95.0 for t in record['role_tiers']</w:t>
      </w:r>
      <w:r>
        <w:br/>
      </w:r>
      <w:r>
        <w:rPr>
          <w:rStyle w:val="StringTok"/>
        </w:rPr>
        <w:t xml:space="preserve">), 'One or more role tiers below threshold'</w:t>
      </w:r>
      <w:r>
        <w:br/>
      </w:r>
      <w:r>
        <w:rPr>
          <w:rStyle w:val="StringTok"/>
        </w:rPr>
        <w:t xml:space="preserve">print('Training record: PASS')</w:t>
      </w:r>
      <w:r>
        <w:br/>
      </w:r>
      <w:r>
        <w:rPr>
          <w:rStyle w:val="StringTok"/>
        </w:rPr>
        <w:t xml:space="preserve">"</w:t>
      </w:r>
    </w:p>
    <w:p>
      <w:r>
        <w:pict>
          <v:rect style="width:0;height:1.5pt" o:hralign="center" o:hrstd="t" o:hr="t"/>
        </w:pict>
      </w:r>
    </w:p>
    <w:bookmarkEnd w:id="37"/>
    <w:bookmarkEnd w:id="38"/>
    <w:bookmarkStart w:id="43" w:name="X2baad120c625cca5affb3af3072f4904f2c9188"/>
    <w:p>
      <w:pPr>
        <w:pStyle w:val="Heading1"/>
      </w:pPr>
      <w:r>
        <w:t xml:space="preserve">7. 6 Post-Authorization ConMon Architecture (CA-7, SA-15)</w:t>
      </w:r>
    </w:p>
    <w:bookmarkStart w:id="39" w:name="conmon-data-flow"/>
    <w:p>
      <w:pPr>
        <w:pStyle w:val="Heading2"/>
      </w:pPr>
      <w:r>
        <w:t xml:space="preserve">7.1 6.1 ConMon Data Flow</w:t>
      </w:r>
    </w:p>
    <w:p>
      <w:pPr>
        <w:pStyle w:val="FirstParagraph"/>
      </w:pPr>
      <w:r>
        <w:t xml:space="preserve">After ATO is granted, the ConMon program feeds back into the governance</w:t>
      </w:r>
      <w:r>
        <w:t xml:space="preserve"> </w:t>
      </w:r>
      <w:r>
        <w:t xml:space="preserve">substrate on a recurring basis:</w:t>
      </w:r>
    </w:p>
    <w:p>
      <w:pPr>
        <w:pStyle w:val="SourceCode"/>
      </w:pPr>
      <w:r>
        <w:rPr>
          <w:rStyle w:val="VerbatimChar"/>
        </w:rPr>
        <w:t xml:space="preserve">[M365 ScuBA Assessment]</w:t>
      </w:r>
      <w:r>
        <w:br/>
      </w:r>
      <w:r>
        <w:rPr>
          <w:rStyle w:val="VerbatimChar"/>
        </w:rPr>
        <w:t xml:space="preserve"> ↓ monthly</w:t>
      </w:r>
      <w:r>
        <w:br/>
      </w:r>
      <w:r>
        <w:rPr>
          <w:rStyle w:val="VerbatimChar"/>
        </w:rPr>
        <w:t xml:space="preserve">[&lt;engine&gt; adapter-run-scuba]</w:t>
      </w:r>
      <w:r>
        <w:br/>
      </w:r>
      <w:r>
        <w:rPr>
          <w:rStyle w:val="VerbatimChar"/>
        </w:rPr>
        <w:t xml:space="preserve"> ↓</w:t>
      </w:r>
      <w:r>
        <w:br/>
      </w:r>
      <w:r>
        <w:rPr>
          <w:rStyle w:val="VerbatimChar"/>
        </w:rPr>
        <w:t xml:space="preserve">[Governance Substrate] ←—— [Compliance Slot Evidence YAMLs]</w:t>
      </w:r>
      <w:r>
        <w:br/>
      </w:r>
      <w:r>
        <w:rPr>
          <w:rStyle w:val="VerbatimChar"/>
        </w:rPr>
        <w:t xml:space="preserve"> ↓ ↑</w:t>
      </w:r>
      <w:r>
        <w:br/>
      </w:r>
      <w:r>
        <w:rPr>
          <w:rStyle w:val="VerbatimChar"/>
        </w:rPr>
        <w:t xml:space="preserve">[&lt;engine&gt; oscal bundle] [Slot confidence upgrades</w:t>
      </w:r>
      <w:r>
        <w:br/>
      </w:r>
      <w:r>
        <w:rPr>
          <w:rStyle w:val="VerbatimChar"/>
        </w:rPr>
        <w:t xml:space="preserve"> ↓ when new evidence artifacts</w:t>
      </w:r>
      <w:r>
        <w:br/>
      </w:r>
      <w:r>
        <w:rPr>
          <w:rStyle w:val="VerbatimChar"/>
        </w:rPr>
        <w:t xml:space="preserve">[ksi-ar.json] are produced or confidence</w:t>
      </w:r>
      <w:r>
        <w:br/>
      </w:r>
      <w:r>
        <w:rPr>
          <w:rStyle w:val="VerbatimChar"/>
        </w:rPr>
        <w:t xml:space="preserve"> ↓ changes]</w:t>
      </w:r>
      <w:r>
        <w:br/>
      </w:r>
      <w:r>
        <w:rPr>
          <w:rStyle w:val="VerbatimChar"/>
        </w:rPr>
        <w:t xml:space="preserve">[POA&amp;M auto-populated]</w:t>
      </w:r>
      <w:r>
        <w:br/>
      </w:r>
      <w:r>
        <w:rPr>
          <w:rStyle w:val="VerbatimChar"/>
        </w:rPr>
        <w:t xml:space="preserve"> ↓</w:t>
      </w:r>
      <w:r>
        <w:br/>
      </w:r>
      <w:r>
        <w:rPr>
          <w:rStyle w:val="VerbatimChar"/>
        </w:rPr>
        <w:t xml:space="preserve">[Sentinel ConMon Dashboard] ——→ [AO Monthly Brief]</w:t>
      </w:r>
    </w:p>
    <w:bookmarkEnd w:id="39"/>
    <w:bookmarkStart w:id="40" w:name="evidence-freshness-rules"/>
    <w:p>
      <w:pPr>
        <w:pStyle w:val="Heading2"/>
      </w:pPr>
      <w:r>
        <w:t xml:space="preserve">7.2 6.2 Evidence Freshness Rules</w:t>
      </w:r>
    </w:p>
    <w:p>
      <w:pPr>
        <w:pStyle w:val="FirstParagraph"/>
      </w:pPr>
      <w:r>
        <w:t xml:space="preserve">Each evidence slot has a freshness requirement. The ConMon program must ensure:</w:t>
      </w:r>
    </w:p>
    <w:p>
      <w:pPr>
        <w:pStyle w:val="TableCaption"/>
      </w:pPr>
      <w:r>
        <w:t xml:space="preserve">Evidence Freshness Requirements by Slot</w:t>
      </w:r>
    </w:p>
    <w:tbl>
      <w:tblPr>
        <w:tblStyle w:val="Table"/>
        <w:tblW w:type="pct" w:w="5000"/>
        <w:tblLayout w:type="fixed"/>
        <w:tblLook w:firstRow="1" w:lastRow="0" w:firstColumn="0" w:lastColumn="0" w:noHBand="0" w:noVBand="0" w:val="0020"/>
        <w:tblCaption w:val="Evidence Freshness Requirements by Slot"/>
      </w:tblPr>
      <w:tblGrid>
        <w:gridCol w:w="1320"/>
        <w:gridCol w:w="5060"/>
        <w:gridCol w:w="1540"/>
      </w:tblGrid>
      <w:tr>
        <w:trPr>
          <w:tblHeader w:val="on"/>
        </w:trPr>
        <w:tc>
          <w:tcPr/>
          <w:p>
            <w:pPr>
              <w:pStyle w:val="Compact"/>
            </w:pPr>
            <w:r>
              <w:t xml:space="preserve">Slot</w:t>
            </w:r>
          </w:p>
        </w:tc>
        <w:tc>
          <w:tcPr/>
          <w:p>
            <w:pPr>
              <w:pStyle w:val="Compact"/>
            </w:pPr>
            <w:r>
              <w:t xml:space="preserve">Freshness Requirement</w:t>
            </w:r>
          </w:p>
        </w:tc>
        <w:tc>
          <w:tcPr/>
          <w:p>
            <w:pPr>
              <w:pStyle w:val="Compact"/>
            </w:pPr>
            <w:r>
              <w:t xml:space="preserve">Owner</w:t>
            </w:r>
          </w:p>
        </w:tc>
      </w:tr>
      <w:tr>
        <w:tc>
          <w:tcPr/>
          <w:p>
            <w:pPr>
              <w:pStyle w:val="Compact"/>
            </w:pPr>
            <w:r>
              <w:t xml:space="preserve">slot-01 identity</w:t>
            </w:r>
          </w:p>
        </w:tc>
        <w:tc>
          <w:tcPr/>
          <w:p>
            <w:pPr>
              <w:pStyle w:val="Compact"/>
            </w:pPr>
            <w:r>
              <w:t xml:space="preserve">Entra ID Conditional Access policies reviewed quarterly</w:t>
            </w:r>
          </w:p>
        </w:tc>
        <w:tc>
          <w:tcPr/>
          <w:p>
            <w:pPr>
              <w:pStyle w:val="Compact"/>
            </w:pPr>
            <w:r>
              <w:t xml:space="preserve">IAM team</w:t>
            </w:r>
          </w:p>
        </w:tc>
      </w:tr>
      <w:tr>
        <w:tc>
          <w:tcPr/>
          <w:p>
            <w:pPr>
              <w:pStyle w:val="Compact"/>
            </w:pPr>
            <w:r>
              <w:t xml:space="preserve">slot-02 data</w:t>
            </w:r>
          </w:p>
        </w:tc>
        <w:tc>
          <w:tcPr/>
          <w:p>
            <w:pPr>
              <w:pStyle w:val="Compact"/>
            </w:pPr>
            <w:r>
              <w:t xml:space="preserve">Purview DLP policy and CMK rotation reviewed annually</w:t>
            </w:r>
          </w:p>
        </w:tc>
        <w:tc>
          <w:tcPr/>
          <w:p>
            <w:pPr>
              <w:pStyle w:val="Compact"/>
            </w:pPr>
            <w:r>
              <w:t xml:space="preserve">Data Protection team</w:t>
            </w:r>
          </w:p>
        </w:tc>
      </w:tr>
      <w:tr>
        <w:tc>
          <w:tcPr/>
          <w:p>
            <w:pPr>
              <w:pStyle w:val="Compact"/>
            </w:pPr>
            <w:r>
              <w:t xml:space="preserve">slot-03 network</w:t>
            </w:r>
          </w:p>
        </w:tc>
        <w:tc>
          <w:tcPr/>
          <w:p>
            <w:pPr>
              <w:pStyle w:val="Compact"/>
            </w:pPr>
            <w:r>
              <w:t xml:space="preserve">SD-WAN configuration baseline reviewed semi-annually</w:t>
            </w:r>
          </w:p>
        </w:tc>
        <w:tc>
          <w:tcPr/>
          <w:p>
            <w:pPr>
              <w:pStyle w:val="Compact"/>
            </w:pPr>
            <w:r>
              <w:t xml:space="preserve">Network team</w:t>
            </w:r>
          </w:p>
        </w:tc>
      </w:tr>
      <w:tr>
        <w:tc>
          <w:tcPr/>
          <w:p>
            <w:pPr>
              <w:pStyle w:val="Compact"/>
            </w:pPr>
            <w:r>
              <w:t xml:space="preserve">slot-04 telemetry</w:t>
            </w:r>
          </w:p>
        </w:tc>
        <w:tc>
          <w:tcPr/>
          <w:p>
            <w:pPr>
              <w:pStyle w:val="Compact"/>
            </w:pPr>
            <w:r>
              <w:t xml:space="preserve">Sentinel detection rules reviewed quarterly; log retention confirmed monthly</w:t>
            </w:r>
          </w:p>
        </w:tc>
        <w:tc>
          <w:tcPr/>
          <w:p>
            <w:pPr>
              <w:pStyle w:val="Compact"/>
            </w:pPr>
            <w:r>
              <w:t xml:space="preserve">SOC</w:t>
            </w:r>
          </w:p>
        </w:tc>
      </w:tr>
      <w:tr>
        <w:tc>
          <w:tcPr/>
          <w:p>
            <w:pPr>
              <w:pStyle w:val="Compact"/>
            </w:pPr>
            <w:r>
              <w:t xml:space="preserve">slot-05 endpoint</w:t>
            </w:r>
          </w:p>
        </w:tc>
        <w:tc>
          <w:tcPr/>
          <w:p>
            <w:pPr>
              <w:pStyle w:val="Compact"/>
            </w:pPr>
            <w:r>
              <w:t xml:space="preserve">Defender VM findings reviewed weekly; PAW review quarterly</w:t>
            </w:r>
          </w:p>
        </w:tc>
        <w:tc>
          <w:tcPr/>
          <w:p>
            <w:pPr>
              <w:pStyle w:val="Compact"/>
            </w:pPr>
            <w:r>
              <w:t xml:space="preserve">Endpoint team</w:t>
            </w:r>
          </w:p>
        </w:tc>
      </w:tr>
      <w:tr>
        <w:tc>
          <w:tcPr/>
          <w:p>
            <w:pPr>
              <w:pStyle w:val="Compact"/>
            </w:pPr>
            <w:r>
              <w:t xml:space="preserve">slot-06 security</w:t>
            </w:r>
          </w:p>
        </w:tc>
        <w:tc>
          <w:tcPr/>
          <w:p>
            <w:pPr>
              <w:pStyle w:val="Compact"/>
            </w:pPr>
            <w:r>
              <w:t xml:space="preserve">SBOM regenerated monthly; VDR/VER current (BOD 26-04)</w:t>
            </w:r>
          </w:p>
        </w:tc>
        <w:tc>
          <w:tcPr/>
          <w:p>
            <w:pPr>
              <w:pStyle w:val="Compact"/>
            </w:pPr>
            <w:r>
              <w:t xml:space="preserve">SR team</w:t>
            </w:r>
          </w:p>
        </w:tc>
      </w:tr>
      <w:tr>
        <w:tc>
          <w:tcPr/>
          <w:p>
            <w:pPr>
              <w:pStyle w:val="Compact"/>
            </w:pPr>
            <w:r>
              <w:t xml:space="preserve">slot-07 continuity</w:t>
            </w:r>
          </w:p>
        </w:tc>
        <w:tc>
          <w:tcPr/>
          <w:p>
            <w:pPr>
              <w:pStyle w:val="Compact"/>
            </w:pPr>
            <w:r>
              <w:t xml:space="preserve">CP-3 tabletop annually; CP-4 test annually; CP-2 plan current</w:t>
            </w:r>
          </w:p>
        </w:tc>
        <w:tc>
          <w:tcPr/>
          <w:p>
            <w:pPr>
              <w:pStyle w:val="Compact"/>
            </w:pPr>
            <w:r>
              <w:t xml:space="preserve">BC team</w:t>
            </w:r>
          </w:p>
        </w:tc>
      </w:tr>
      <w:tr>
        <w:tc>
          <w:tcPr/>
          <w:p>
            <w:pPr>
              <w:pStyle w:val="Compact"/>
            </w:pPr>
            <w:r>
              <w:t xml:space="preserve">slot-08 training</w:t>
            </w:r>
          </w:p>
        </w:tc>
        <w:tc>
          <w:tcPr/>
          <w:p>
            <w:pPr>
              <w:pStyle w:val="Compact"/>
            </w:pPr>
            <w:r>
              <w:t xml:space="preserve">LMS completion records exported monthly; overall ≥ 95%</w:t>
            </w:r>
          </w:p>
        </w:tc>
        <w:tc>
          <w:tcPr/>
          <w:p>
            <w:pPr>
              <w:pStyle w:val="Compact"/>
            </w:pPr>
            <w:r>
              <w:t xml:space="preserve">HR / Training</w:t>
            </w:r>
          </w:p>
        </w:tc>
      </w:tr>
    </w:tbl>
    <w:bookmarkEnd w:id="40"/>
    <w:bookmarkStart w:id="41" w:name="sentinel-conmon-dashboard"/>
    <w:p>
      <w:pPr>
        <w:pStyle w:val="Heading2"/>
      </w:pPr>
      <w:r>
        <w:t xml:space="preserve">7.3 6.3 Sentinel ConMon Dashboard</w:t>
      </w:r>
    </w:p>
    <w:p>
      <w:pPr>
        <w:pStyle w:val="FirstParagraph"/>
      </w:pPr>
      <w:r>
        <w:t xml:space="preserve">Vol III Book 06 established the Sentinel XDR platform as the operational ConMon</w:t>
      </w:r>
      <w:r>
        <w:t xml:space="preserve"> </w:t>
      </w:r>
      <w:r>
        <w:t xml:space="preserve">dashboard. The following workbooks are required for CA-7(3) trend analysis:</w:t>
      </w:r>
    </w:p>
    <w:p>
      <w:pPr>
        <w:pStyle w:val="Compact"/>
        <w:numPr>
          <w:ilvl w:val="0"/>
          <w:numId w:val="1015"/>
        </w:numPr>
      </w:pPr>
      <w:r>
        <w:rPr>
          <w:b/>
          <w:bCs/>
        </w:rPr>
        <w:t xml:space="preserve">KSI Status Workbook</w:t>
      </w:r>
      <w:r>
        <w:t xml:space="preserve"> </w:t>
      </w:r>
      <w:r>
        <w:t xml:space="preserve">— maps each of the 29 KSIs to their current evidence</w:t>
      </w:r>
      <w:r>
        <w:t xml:space="preserve"> </w:t>
      </w:r>
      <w:r>
        <w:t xml:space="preserve">state (green/amber/red based on slot binding confidence and AR verdict)</w:t>
      </w:r>
    </w:p>
    <w:p>
      <w:pPr>
        <w:pStyle w:val="Compact"/>
        <w:numPr>
          <w:ilvl w:val="0"/>
          <w:numId w:val="1015"/>
        </w:numPr>
      </w:pPr>
      <w:r>
        <w:rPr>
          <w:b/>
          <w:bCs/>
        </w:rPr>
        <w:t xml:space="preserve">Control Drift Workbook</w:t>
      </w:r>
      <w:r>
        <w:t xml:space="preserve"> </w:t>
      </w:r>
      <w:r>
        <w:t xml:space="preserve">— tracks changes in ScuBA findings (M365 config</w:t>
      </w:r>
      <w:r>
        <w:t xml:space="preserve"> </w:t>
      </w:r>
      <w:r>
        <w:t xml:space="preserve">drift that could affect KSI-001..010 verdicts)</w:t>
      </w:r>
    </w:p>
    <w:p>
      <w:pPr>
        <w:pStyle w:val="Compact"/>
        <w:numPr>
          <w:ilvl w:val="0"/>
          <w:numId w:val="1015"/>
        </w:numPr>
      </w:pPr>
      <w:r>
        <w:rPr>
          <w:b/>
          <w:bCs/>
        </w:rPr>
        <w:t xml:space="preserve">Vulnerability Backlog Workbook</w:t>
      </w:r>
      <w:r>
        <w:t xml:space="preserve"> </w:t>
      </w:r>
      <w:r>
        <w:t xml:space="preserve">— RA-5 KEV hits, CVSS scores, BOD 26-04</w:t>
      </w:r>
      <w:r>
        <w:t xml:space="preserve"> </w:t>
      </w:r>
      <w:r>
        <w:t xml:space="preserve">status per component in the SBOM</w:t>
      </w:r>
    </w:p>
    <w:p>
      <w:pPr>
        <w:pStyle w:val="Compact"/>
        <w:numPr>
          <w:ilvl w:val="0"/>
          <w:numId w:val="1015"/>
        </w:numPr>
      </w:pPr>
      <w:r>
        <w:rPr>
          <w:b/>
          <w:bCs/>
        </w:rPr>
        <w:t xml:space="preserve">Training Coverage Workbook</w:t>
      </w:r>
      <w:r>
        <w:t xml:space="preserve"> </w:t>
      </w:r>
      <w:r>
        <w:t xml:space="preserve">— AT-4 completion rate trend by role tier</w:t>
      </w:r>
    </w:p>
    <w:bookmarkEnd w:id="41"/>
    <w:bookmarkStart w:id="42" w:name="roles-and-responsibilities-ca-71"/>
    <w:p>
      <w:pPr>
        <w:pStyle w:val="Heading2"/>
      </w:pPr>
      <w:r>
        <w:t xml:space="preserve">7.4 6.4 Roles and Responsibilities (CA-7(1))</w:t>
      </w:r>
    </w:p>
    <w:p>
      <w:pPr>
        <w:pStyle w:val="TableCaption"/>
      </w:pPr>
      <w:r>
        <w:t xml:space="preserve">ConMon RACI — Key Roles</w:t>
      </w:r>
    </w:p>
    <w:tbl>
      <w:tblPr>
        <w:tblStyle w:val="Table"/>
        <w:tblW w:type="pct" w:w="5000"/>
        <w:tblLayout w:type="fixed"/>
        <w:tblLook w:firstRow="1" w:lastRow="0" w:firstColumn="0" w:lastColumn="0" w:noHBand="0" w:noVBand="0" w:val="0020"/>
        <w:tblCaption w:val="ConMon RACI — Key Roles"/>
      </w:tblPr>
      <w:tblGrid>
        <w:gridCol w:w="1760"/>
        <w:gridCol w:w="6160"/>
      </w:tblGrid>
      <w:tr>
        <w:trPr>
          <w:tblHeader w:val="on"/>
        </w:trPr>
        <w:tc>
          <w:tcPr/>
          <w:p>
            <w:pPr>
              <w:pStyle w:val="Compact"/>
            </w:pPr>
            <w:r>
              <w:t xml:space="preserve">Role</w:t>
            </w:r>
          </w:p>
        </w:tc>
        <w:tc>
          <w:tcPr/>
          <w:p>
            <w:pPr>
              <w:pStyle w:val="Compact"/>
            </w:pPr>
            <w:r>
              <w:t xml:space="preserve">CA-7 Responsibility</w:t>
            </w:r>
          </w:p>
        </w:tc>
      </w:tr>
      <w:tr>
        <w:tc>
          <w:tcPr/>
          <w:p>
            <w:pPr>
              <w:pStyle w:val="Compact"/>
            </w:pPr>
            <w:r>
              <w:rPr>
                <w:b/>
                <w:bCs/>
              </w:rPr>
              <w:t xml:space="preserve">Authorizing Official (AO)</w:t>
            </w:r>
          </w:p>
        </w:tc>
        <w:tc>
          <w:tcPr/>
          <w:p>
            <w:pPr>
              <w:pStyle w:val="Compact"/>
            </w:pPr>
            <w:r>
              <w:t xml:space="preserve">Reviews monthly AR; accepts or escalates open risks; approves ATO renewal</w:t>
            </w:r>
          </w:p>
        </w:tc>
      </w:tr>
      <w:tr>
        <w:tc>
          <w:tcPr/>
          <w:p>
            <w:pPr>
              <w:pStyle w:val="Compact"/>
            </w:pPr>
            <w:r>
              <w:rPr>
                <w:b/>
                <w:bCs/>
              </w:rPr>
              <w:t xml:space="preserve">ISSO</w:t>
            </w:r>
          </w:p>
        </w:tc>
        <w:tc>
          <w:tcPr/>
          <w:p>
            <w:pPr>
              <w:pStyle w:val="Compact"/>
            </w:pPr>
            <w:r>
              <w:t xml:space="preserve">Runs monthly</w:t>
            </w:r>
            <w:r>
              <w:t xml:space="preserve"> </w:t>
            </w:r>
            <w:r>
              <w:rPr>
                <w:rStyle w:val="VerbatimChar"/>
              </w:rPr>
              <w:t xml:space="preserve">&lt;engine&gt; oscal bundle</w:t>
            </w:r>
            <w:r>
              <w:t xml:space="preserve">; reviews Sentinel dashboard; owns POA&amp;M</w:t>
            </w:r>
          </w:p>
        </w:tc>
      </w:tr>
      <w:tr>
        <w:tc>
          <w:tcPr/>
          <w:p>
            <w:pPr>
              <w:pStyle w:val="Compact"/>
            </w:pPr>
            <w:r>
              <w:rPr>
                <w:b/>
                <w:bCs/>
              </w:rPr>
              <w:t xml:space="preserve">ISSM</w:t>
            </w:r>
          </w:p>
        </w:tc>
        <w:tc>
          <w:tcPr/>
          <w:p>
            <w:pPr>
              <w:pStyle w:val="Compact"/>
            </w:pPr>
            <w:r>
              <w:t xml:space="preserve">Chairs quarterly KSI review; escalates trend anomalies to AO</w:t>
            </w:r>
          </w:p>
        </w:tc>
      </w:tr>
      <w:tr>
        <w:tc>
          <w:tcPr/>
          <w:p>
            <w:pPr>
              <w:pStyle w:val="Compact"/>
            </w:pPr>
            <w:r>
              <w:rPr>
                <w:b/>
                <w:bCs/>
              </w:rPr>
              <w:t xml:space="preserve">SOC Lead</w:t>
            </w:r>
          </w:p>
        </w:tc>
        <w:tc>
          <w:tcPr/>
          <w:p>
            <w:pPr>
              <w:pStyle w:val="Compact"/>
            </w:pPr>
            <w:r>
              <w:t xml:space="preserve">Maintains Sentinel workbooks; conducts IR drills; owns detection rule cadence</w:t>
            </w:r>
          </w:p>
        </w:tc>
      </w:tr>
      <w:tr>
        <w:tc>
          <w:tcPr/>
          <w:p>
            <w:pPr>
              <w:pStyle w:val="Compact"/>
            </w:pPr>
            <w:r>
              <w:rPr>
                <w:b/>
                <w:bCs/>
              </w:rPr>
              <w:t xml:space="preserve">SR / Supply Chain</w:t>
            </w:r>
          </w:p>
        </w:tc>
        <w:tc>
          <w:tcPr/>
          <w:p>
            <w:pPr>
              <w:pStyle w:val="Compact"/>
            </w:pPr>
            <w:r>
              <w:t xml:space="preserve">Maintains SBOM pipeline; files VDR/VER; owns BOD 26-04 compliance</w:t>
            </w:r>
          </w:p>
        </w:tc>
      </w:tr>
      <w:tr>
        <w:tc>
          <w:tcPr/>
          <w:p>
            <w:pPr>
              <w:pStyle w:val="Compact"/>
            </w:pPr>
            <w:r>
              <w:rPr>
                <w:b/>
                <w:bCs/>
              </w:rPr>
              <w:t xml:space="preserve">HR / Training Coordinator</w:t>
            </w:r>
          </w:p>
        </w:tc>
        <w:tc>
          <w:tcPr/>
          <w:p>
            <w:pPr>
              <w:pStyle w:val="Compact"/>
            </w:pPr>
            <w:r>
              <w:t xml:space="preserve">Exports monthly LMS records; ensures overall_completion_pct ≥ 95%</w:t>
            </w:r>
          </w:p>
        </w:tc>
      </w:tr>
    </w:tbl>
    <w:p>
      <w:r>
        <w:pict>
          <v:rect style="width:0;height:1.5pt" o:hralign="center" o:hrstd="t" o:hr="t"/>
        </w:pict>
      </w:r>
    </w:p>
    <w:bookmarkEnd w:id="42"/>
    <w:bookmarkEnd w:id="43"/>
    <w:bookmarkStart w:id="46" w:name="risk-assessment-integration-ra-3"/>
    <w:p>
      <w:pPr>
        <w:pStyle w:val="Heading1"/>
      </w:pPr>
      <w:r>
        <w:t xml:space="preserve">8. 7 Risk Assessment Integration (RA-3)</w:t>
      </w:r>
    </w:p>
    <w:bookmarkStart w:id="44" w:name="risk-register-structure"/>
    <w:p>
      <w:pPr>
        <w:pStyle w:val="Heading2"/>
      </w:pPr>
      <w:r>
        <w:t xml:space="preserve">8.1 7.1 Risk Register Structure</w:t>
      </w:r>
    </w:p>
    <w:p>
      <w:pPr>
        <w:pStyle w:val="FirstParagraph"/>
      </w:pPr>
      <w:r>
        <w:t xml:space="preserve">The OSCAL AR’s risk entries feed directly into the organizational risk register</w:t>
      </w:r>
      <w:r>
        <w:t xml:space="preserve"> </w:t>
      </w:r>
      <w:r>
        <w:t xml:space="preserve">(PM-9, established in Vol IV Book 03). The risk structure follows OSCAL 1.0.4:</w:t>
      </w:r>
    </w:p>
    <w:tbl>
      <w:tblPr>
        <w:tblStyle w:val="Table"/>
        <w:tblW w:type="pct" w:w="5000"/>
        <w:tblLayout w:type="fixed"/>
        <w:tblLook w:firstRow="1" w:lastRow="0" w:firstColumn="0" w:lastColumn="0" w:noHBand="0" w:noVBand="0" w:val="0020"/>
      </w:tblPr>
      <w:tblGrid>
        <w:gridCol w:w="2795"/>
        <w:gridCol w:w="5124"/>
      </w:tblGrid>
      <w:tr>
        <w:trPr>
          <w:tblHeader w:val="on"/>
        </w:trPr>
        <w:tc>
          <w:tcPr/>
          <w:p>
            <w:pPr>
              <w:pStyle w:val="Compact"/>
            </w:pPr>
            <w:r>
              <w:t xml:space="preserve">OSCAL Field</w:t>
            </w:r>
          </w:p>
        </w:tc>
        <w:tc>
          <w:tcPr/>
          <w:p>
            <w:pPr>
              <w:pStyle w:val="Compact"/>
            </w:pPr>
            <w:r>
              <w:t xml:space="preserve">Risk Register Mapping</w:t>
            </w:r>
          </w:p>
        </w:tc>
      </w:tr>
      <w:tr>
        <w:tc>
          <w:tcPr/>
          <w:p>
            <w:pPr>
              <w:pStyle w:val="Compact"/>
            </w:pPr>
            <w:r>
              <w:rPr>
                <w:rStyle w:val="VerbatimChar"/>
              </w:rPr>
              <w:t xml:space="preserve">risk.title</w:t>
            </w:r>
          </w:p>
        </w:tc>
        <w:tc>
          <w:tcPr/>
          <w:p>
            <w:pPr>
              <w:pStyle w:val="Compact"/>
            </w:pPr>
            <w:r>
              <w:t xml:space="preserve">Risk item name</w:t>
            </w:r>
          </w:p>
        </w:tc>
      </w:tr>
      <w:tr>
        <w:tc>
          <w:tcPr/>
          <w:p>
            <w:pPr>
              <w:pStyle w:val="Compact"/>
            </w:pPr>
            <w:r>
              <w:rPr>
                <w:rStyle w:val="VerbatimChar"/>
              </w:rPr>
              <w:t xml:space="preserve">risk.status</w:t>
            </w:r>
          </w:p>
        </w:tc>
        <w:tc>
          <w:tcPr/>
          <w:p>
            <w:pPr>
              <w:pStyle w:val="Compact"/>
            </w:pPr>
            <w:r>
              <w:t xml:space="preserve">open / closed / deferred</w:t>
            </w:r>
          </w:p>
        </w:tc>
      </w:tr>
      <w:tr>
        <w:tc>
          <w:tcPr/>
          <w:p>
            <w:pPr>
              <w:pStyle w:val="Compact"/>
            </w:pPr>
            <w:r>
              <w:rPr>
                <w:rStyle w:val="VerbatimChar"/>
              </w:rPr>
              <w:t xml:space="preserve">risk.characterizations</w:t>
            </w:r>
          </w:p>
        </w:tc>
        <w:tc>
          <w:tcPr/>
          <w:p>
            <w:pPr>
              <w:pStyle w:val="Compact"/>
            </w:pPr>
            <w:r>
              <w:t xml:space="preserve">CVSS-derived severity; KSI theme</w:t>
            </w:r>
          </w:p>
        </w:tc>
      </w:tr>
      <w:tr>
        <w:tc>
          <w:tcPr/>
          <w:p>
            <w:pPr>
              <w:pStyle w:val="Compact"/>
            </w:pPr>
            <w:r>
              <w:rPr>
                <w:rStyle w:val="VerbatimChar"/>
              </w:rPr>
              <w:t xml:space="preserve">risk.mitigating-factors</w:t>
            </w:r>
          </w:p>
        </w:tc>
        <w:tc>
          <w:tcPr/>
          <w:p>
            <w:pPr>
              <w:pStyle w:val="Compact"/>
            </w:pPr>
            <w:r>
              <w:t xml:space="preserve">Compensating controls from Compliance evidence</w:t>
            </w:r>
          </w:p>
        </w:tc>
      </w:tr>
      <w:tr>
        <w:tc>
          <w:tcPr/>
          <w:p>
            <w:pPr>
              <w:pStyle w:val="Compact"/>
            </w:pPr>
            <w:r>
              <w:rPr>
                <w:rStyle w:val="VerbatimChar"/>
              </w:rPr>
              <w:t xml:space="preserve">risk.remediation-tracking</w:t>
            </w:r>
          </w:p>
        </w:tc>
        <w:tc>
          <w:tcPr/>
          <w:p>
            <w:pPr>
              <w:pStyle w:val="Compact"/>
            </w:pPr>
            <w:r>
              <w:t xml:space="preserve">BOD 26-04 milestones or training milestones</w:t>
            </w:r>
          </w:p>
        </w:tc>
      </w:tr>
    </w:tbl>
    <w:p>
      <w:pPr>
        <w:pStyle w:val="BodyText"/>
      </w:pPr>
      <w:r>
        <w:t xml:space="preserve">When the AR contains zero open risks against the internal rule set (current</w:t>
      </w:r>
      <w:r>
        <w:t xml:space="preserve"> </w:t>
      </w:r>
      <w:r>
        <w:t xml:space="preserve">self-assessed state), the risk register entry for KSI controls reads:</w:t>
      </w:r>
      <w:r>
        <w:t xml:space="preserve"> </w:t>
      </w:r>
      <w:r>
        <w:t xml:space="preserve">“All 29</w:t>
      </w:r>
      <w:r>
        <w:t xml:space="preserve"> </w:t>
      </w:r>
      <w:r>
        <w:t xml:space="preserve">internal KSI rules satisfied — no residual risk from the KSI evaluation</w:t>
      </w:r>
      <w:r>
        <w:t xml:space="preserve"> </w:t>
      </w:r>
      <w:r>
        <w:t xml:space="preserve">(self-assessed; CR26 indicator coverage 19/46, pending reconciliation and SCA).”</w:t>
      </w:r>
      <w:r>
        <w:t xml:space="preserve"> </w:t>
      </w:r>
      <w:r>
        <w:t xml:space="preserve">This does not eliminate enterprise risk; it eliminates internal-rule-set</w:t>
      </w:r>
      <w:r>
        <w:t xml:space="preserve"> </w:t>
      </w:r>
      <w:r>
        <w:t xml:space="preserve">compliance risk only.</w:t>
      </w:r>
    </w:p>
    <w:bookmarkEnd w:id="44"/>
    <w:bookmarkStart w:id="45" w:name="X8d10a249fbdba0d990b4e3f6ae9964964ca46d1"/>
    <w:p>
      <w:pPr>
        <w:pStyle w:val="Heading2"/>
      </w:pPr>
      <w:r>
        <w:t xml:space="preserve">8.2 7.2 Residual Risks Not Covered by KSI Evaluation</w:t>
      </w:r>
    </w:p>
    <w:p>
      <w:pPr>
        <w:pStyle w:val="FirstParagraph"/>
      </w:pPr>
      <w:r>
        <w:t xml:space="preserve">The KSI evaluation covers FedRAMP 20x Consolidated Rules. The following</w:t>
      </w:r>
      <w:r>
        <w:t xml:space="preserve"> </w:t>
      </w:r>
      <w:r>
        <w:t xml:space="preserve">risk categories are outside KSI scope and must be managed separately:</w:t>
      </w:r>
    </w:p>
    <w:p>
      <w:pPr>
        <w:pStyle w:val="Compact"/>
        <w:numPr>
          <w:ilvl w:val="0"/>
          <w:numId w:val="1016"/>
        </w:numPr>
      </w:pPr>
      <w:r>
        <w:rPr>
          <w:b/>
          <w:bCs/>
        </w:rPr>
        <w:t xml:space="preserve">Mission risk</w:t>
      </w:r>
      <w:r>
        <w:t xml:space="preserve"> </w:t>
      </w:r>
      <w:r>
        <w:t xml:space="preserve">— impact to Agency service delivery from system failure</w:t>
      </w:r>
    </w:p>
    <w:p>
      <w:pPr>
        <w:pStyle w:val="Compact"/>
        <w:numPr>
          <w:ilvl w:val="0"/>
          <w:numId w:val="1016"/>
        </w:numPr>
      </w:pPr>
      <w:r>
        <w:rPr>
          <w:b/>
          <w:bCs/>
        </w:rPr>
        <w:t xml:space="preserve">Insider threat</w:t>
      </w:r>
      <w:r>
        <w:t xml:space="preserve"> </w:t>
      </w:r>
      <w:r>
        <w:t xml:space="preserve">— behavioral analytics (KSI-001..010 cover technical</w:t>
      </w:r>
      <w:r>
        <w:t xml:space="preserve"> </w:t>
      </w:r>
      <w:r>
        <w:t xml:space="preserve">controls; insider threat requires HR and behavioral monitoring programs)</w:t>
      </w:r>
    </w:p>
    <w:p>
      <w:pPr>
        <w:pStyle w:val="Compact"/>
        <w:numPr>
          <w:ilvl w:val="0"/>
          <w:numId w:val="1016"/>
        </w:numPr>
      </w:pPr>
      <w:r>
        <w:rPr>
          <w:b/>
          <w:bCs/>
        </w:rPr>
        <w:t xml:space="preserve">Physical security</w:t>
      </w:r>
      <w:r>
        <w:t xml:space="preserve"> </w:t>
      </w:r>
      <w:r>
        <w:t xml:space="preserve">— PE family (inherited from the CSP data-center authorization)</w:t>
      </w:r>
    </w:p>
    <w:p>
      <w:pPr>
        <w:pStyle w:val="Compact"/>
        <w:numPr>
          <w:ilvl w:val="0"/>
          <w:numId w:val="1016"/>
        </w:numPr>
      </w:pPr>
      <w:r>
        <w:rPr>
          <w:b/>
          <w:bCs/>
        </w:rPr>
        <w:t xml:space="preserve">Supply chain geopolitical risk</w:t>
      </w:r>
      <w:r>
        <w:t xml:space="preserve"> </w:t>
      </w:r>
      <w:r>
        <w:t xml:space="preserve">— beyond BOD 26-04 SBOM/VDR/VER scope</w:t>
      </w:r>
    </w:p>
    <w:p>
      <w:r>
        <w:pict>
          <v:rect style="width:0;height:1.5pt" o:hralign="center" o:hrstd="t" o:hr="t"/>
        </w:pict>
      </w:r>
    </w:p>
    <w:bookmarkEnd w:id="45"/>
    <w:bookmarkEnd w:id="46"/>
    <w:bookmarkStart w:id="49" w:name="authorization-package-assembly-checklist"/>
    <w:p>
      <w:pPr>
        <w:pStyle w:val="Heading1"/>
      </w:pPr>
      <w:r>
        <w:t xml:space="preserve">9. 8 Authorization Package Assembly Checklist</w:t>
      </w:r>
    </w:p>
    <w:p>
      <w:pPr>
        <w:pStyle w:val="FirstParagraph"/>
      </w:pPr>
      <w:r>
        <w:t xml:space="preserve">The following checklist operationalizes the authorization package assembly.</w:t>
      </w:r>
      <w:r>
        <w:t xml:space="preserve"> </w:t>
      </w:r>
      <w:r>
        <w:t xml:space="preserve">Complete in order before the November 2026 AO review window.</w:t>
      </w:r>
    </w:p>
    <w:bookmarkStart w:id="47" w:name="pre-decision-checklist"/>
    <w:p>
      <w:pPr>
        <w:pStyle w:val="Heading2"/>
      </w:pPr>
      <w:r>
        <w:t xml:space="preserve">9.1 8.1 Pre-Decision Checklist</w:t>
      </w:r>
    </w:p>
    <w:p>
      <w:pPr>
        <w:pStyle w:val="FirstParagraph"/>
      </w:pPr>
      <w:r>
        <w:rPr>
          <w:b/>
          <w:bCs/>
        </w:rPr>
        <w:t xml:space="preserve">OSCAL Bundle (CA-2, CA-5):</w:t>
      </w:r>
    </w:p>
    <w:p>
      <w:pPr>
        <w:pStyle w:val="Compact"/>
        <w:numPr>
          <w:ilvl w:val="0"/>
          <w:numId w:val="1017"/>
        </w:numPr>
      </w:pPr>
      <w:r>
        <w:t xml:space="preserve">Run</w:t>
      </w:r>
      <w:r>
        <w:t xml:space="preserve"> </w:t>
      </w:r>
      <w:r>
        <w:rPr>
          <w:rStyle w:val="VerbatimChar"/>
        </w:rPr>
        <w:t xml:space="preserve">&lt;engine&gt; oscal bundle --system-name "Agency GCC Moderate"</w:t>
      </w:r>
      <w:r>
        <w:t xml:space="preserve"> </w:t>
      </w:r>
      <w:r>
        <w:t xml:space="preserve">and confirm 29/29 self-assessed satisfied against the series’ internal KSI decomposition (not the CR26 catalog)</w:t>
      </w:r>
    </w:p>
    <w:p>
      <w:pPr>
        <w:pStyle w:val="Compact"/>
        <w:numPr>
          <w:ilvl w:val="0"/>
          <w:numId w:val="1018"/>
        </w:numPr>
      </w:pPr>
      <w:r>
        <w:t xml:space="preserve">Confirm POA&amp;M has zero open items</w:t>
      </w:r>
      <w:r>
        <w:t xml:space="preserve"> </w:t>
      </w:r>
      <w:r>
        <w:rPr>
          <w:i/>
          <w:iCs/>
        </w:rPr>
        <w:t xml:space="preserve">in the internal rule set</w:t>
      </w:r>
      <w:r>
        <w:t xml:space="preserve"> </w:t>
      </w:r>
      <w:r>
        <w:t xml:space="preserve">— expect it to become non-empty once the internal-rules → CR26 diff and independent SCA are complete</w:t>
      </w:r>
    </w:p>
    <w:p>
      <w:pPr>
        <w:pStyle w:val="Compact"/>
        <w:numPr>
          <w:ilvl w:val="0"/>
          <w:numId w:val="1019"/>
        </w:numPr>
      </w:pPr>
      <w:r>
        <w:t xml:space="preserve">Archive bundle with timestamp to</w:t>
      </w:r>
      <w:r>
        <w:t xml:space="preserve"> </w:t>
      </w:r>
      <w:r>
        <w:rPr>
          <w:rStyle w:val="VerbatimChar"/>
        </w:rPr>
        <w:t xml:space="preserve">output/artifacts/ksi-bundle/history/YYYYMM/</w:t>
      </w:r>
    </w:p>
    <w:p>
      <w:pPr>
        <w:pStyle w:val="Compact"/>
        <w:numPr>
          <w:ilvl w:val="0"/>
          <w:numId w:val="1020"/>
        </w:numPr>
      </w:pPr>
      <w:r>
        <w:t xml:space="preserve">Present bundle (AP + AR + POA&amp;M) to the Agency AO for the RMF authorization decision</w:t>
      </w:r>
    </w:p>
    <w:p>
      <w:pPr>
        <w:pStyle w:val="FirstParagraph"/>
      </w:pPr>
      <w:r>
        <w:rPr>
          <w:b/>
          <w:bCs/>
        </w:rPr>
        <w:t xml:space="preserve">Evidence Books (CA-2):</w:t>
      </w:r>
    </w:p>
    <w:p>
      <w:pPr>
        <w:pStyle w:val="Compact"/>
        <w:numPr>
          <w:ilvl w:val="0"/>
          <w:numId w:val="1021"/>
        </w:numPr>
      </w:pPr>
      <w:r>
        <w:t xml:space="preserve">Confirm all twenty-two content books compiled and available in</w:t>
      </w:r>
      <w:r>
        <w:t xml:space="preserve"> </w:t>
      </w:r>
      <w:r>
        <w:rPr>
          <w:rStyle w:val="VerbatimChar"/>
        </w:rPr>
        <w:t xml:space="preserve">docs/customer-documents/federal-compliance-series/</w:t>
      </w:r>
    </w:p>
    <w:p>
      <w:pPr>
        <w:pStyle w:val="Compact"/>
        <w:numPr>
          <w:ilvl w:val="0"/>
          <w:numId w:val="1022"/>
        </w:numPr>
      </w:pPr>
      <w:r>
        <w:t xml:space="preserve">Upload updated books to agency document management system</w:t>
      </w:r>
    </w:p>
    <w:p>
      <w:pPr>
        <w:pStyle w:val="Compact"/>
        <w:numPr>
          <w:ilvl w:val="0"/>
          <w:numId w:val="1023"/>
        </w:numPr>
      </w:pPr>
      <w:r>
        <w:t xml:space="preserve">Create cross-reference index: book → NIST controls → KSI IDs</w:t>
      </w:r>
    </w:p>
    <w:p>
      <w:pPr>
        <w:pStyle w:val="FirstParagraph"/>
      </w:pPr>
      <w:r>
        <w:rPr>
          <w:b/>
          <w:bCs/>
        </w:rPr>
        <w:t xml:space="preserve">BOD 26-04 (SR-11):</w:t>
      </w:r>
    </w:p>
    <w:p>
      <w:pPr>
        <w:pStyle w:val="Compact"/>
        <w:numPr>
          <w:ilvl w:val="0"/>
          <w:numId w:val="1024"/>
        </w:numPr>
      </w:pPr>
      <w:r>
        <w:t xml:space="preserve">Run SBOM pipeline: Syft scan → CycloneDX 1.6 JSON</w:t>
      </w:r>
    </w:p>
    <w:p>
      <w:pPr>
        <w:pStyle w:val="Compact"/>
        <w:numPr>
          <w:ilvl w:val="0"/>
          <w:numId w:val="1025"/>
        </w:numPr>
      </w:pPr>
      <w:r>
        <w:t xml:space="preserve">Run Grype: vulnerability scan → VDR artifact</w:t>
      </w:r>
    </w:p>
    <w:p>
      <w:pPr>
        <w:pStyle w:val="Compact"/>
        <w:numPr>
          <w:ilvl w:val="0"/>
          <w:numId w:val="1026"/>
        </w:numPr>
      </w:pPr>
      <w:r>
        <w:t xml:space="preserve">Draft VEX statements for all CVEs CVSS ≥ 7.0</w:t>
      </w:r>
    </w:p>
    <w:p>
      <w:pPr>
        <w:pStyle w:val="Compact"/>
        <w:numPr>
          <w:ilvl w:val="0"/>
          <w:numId w:val="1027"/>
        </w:numPr>
      </w:pPr>
      <w:r>
        <w:t xml:space="preserve">Submit VDR/VER to CISA by</w:t>
      </w:r>
      <w:r>
        <w:t xml:space="preserve"> </w:t>
      </w:r>
      <w:r>
        <w:rPr>
          <w:b/>
          <w:bCs/>
        </w:rPr>
        <w:t xml:space="preserve">December 7, 2026</w:t>
      </w:r>
    </w:p>
    <w:p>
      <w:pPr>
        <w:pStyle w:val="Compact"/>
        <w:numPr>
          <w:ilvl w:val="0"/>
          <w:numId w:val="1028"/>
        </w:numPr>
      </w:pPr>
      <w:r>
        <w:t xml:space="preserve">Retain submission confirmation as</w:t>
      </w:r>
      <w:r>
        <w:t xml:space="preserve"> </w:t>
      </w:r>
      <w:r>
        <w:rPr>
          <w:rStyle w:val="VerbatimChar"/>
        </w:rPr>
        <w:t xml:space="preserve">vdr-submission-record.json</w:t>
      </w:r>
    </w:p>
    <w:p>
      <w:pPr>
        <w:pStyle w:val="FirstParagraph"/>
      </w:pPr>
      <w:r>
        <w:rPr>
          <w:b/>
          <w:bCs/>
        </w:rPr>
        <w:t xml:space="preserve">Training (AT-4, KSI-022):</w:t>
      </w:r>
    </w:p>
    <w:p>
      <w:pPr>
        <w:pStyle w:val="Compact"/>
        <w:numPr>
          <w:ilvl w:val="0"/>
          <w:numId w:val="1029"/>
        </w:numPr>
      </w:pPr>
      <w:r>
        <w:t xml:space="preserve">Export</w:t>
      </w:r>
      <w:r>
        <w:t xml:space="preserve"> </w:t>
      </w:r>
      <w:r>
        <w:rPr>
          <w:rStyle w:val="VerbatimChar"/>
        </w:rPr>
        <w:t xml:space="preserve">governance.training-effectiveness-record</w:t>
      </w:r>
      <w:r>
        <w:t xml:space="preserve"> </w:t>
      </w:r>
      <w:r>
        <w:t xml:space="preserve">via the current LMS adapter (Viva Learning Graph API; the schema, not the LMS, is the evidence contract)</w:t>
      </w:r>
    </w:p>
    <w:p>
      <w:pPr>
        <w:pStyle w:val="Compact"/>
        <w:numPr>
          <w:ilvl w:val="0"/>
          <w:numId w:val="1030"/>
        </w:numPr>
      </w:pPr>
      <w:r>
        <w:t xml:space="preserve">Confirm</w:t>
      </w:r>
      <w:r>
        <w:t xml:space="preserve"> </w:t>
      </w:r>
      <w:r>
        <w:rPr>
          <w:rStyle w:val="VerbatimChar"/>
        </w:rPr>
        <w:t xml:space="preserve">overall_completion_pct &gt;= 95.0</w:t>
      </w:r>
    </w:p>
    <w:p>
      <w:pPr>
        <w:pStyle w:val="Compact"/>
        <w:numPr>
          <w:ilvl w:val="0"/>
          <w:numId w:val="1031"/>
        </w:numPr>
      </w:pPr>
      <w:r>
        <w:t xml:space="preserve">Confirm all six</w:t>
      </w:r>
      <w:r>
        <w:t xml:space="preserve"> </w:t>
      </w:r>
      <w:r>
        <w:rPr>
          <w:rStyle w:val="VerbatimChar"/>
        </w:rPr>
        <w:t xml:space="preserve">role_tiers</w:t>
      </w:r>
      <w:r>
        <w:t xml:space="preserve"> </w:t>
      </w:r>
      <w:r>
        <w:t xml:space="preserve">present with</w:t>
      </w:r>
      <w:r>
        <w:t xml:space="preserve"> </w:t>
      </w:r>
      <w:r>
        <w:rPr>
          <w:rStyle w:val="VerbatimChar"/>
        </w:rPr>
        <w:t xml:space="preserve">tier_completion_pct &gt;= 95.0</w:t>
      </w:r>
    </w:p>
    <w:p>
      <w:pPr>
        <w:pStyle w:val="Compact"/>
        <w:numPr>
          <w:ilvl w:val="0"/>
          <w:numId w:val="1032"/>
        </w:numPr>
      </w:pPr>
      <w:r>
        <w:t xml:space="preserve">Confirm</w:t>
      </w:r>
      <w:r>
        <w:t xml:space="preserve"> </w:t>
      </w:r>
      <w:r>
        <w:rPr>
          <w:rStyle w:val="VerbatimChar"/>
        </w:rPr>
        <w:t xml:space="preserve">cp3_tabletop_date</w:t>
      </w:r>
      <w:r>
        <w:t xml:space="preserve"> </w:t>
      </w:r>
      <w:r>
        <w:t xml:space="preserve">and</w:t>
      </w:r>
      <w:r>
        <w:t xml:space="preserve"> </w:t>
      </w:r>
      <w:r>
        <w:rPr>
          <w:rStyle w:val="VerbatimChar"/>
        </w:rPr>
        <w:t xml:space="preserve">ir2_drill_date</w:t>
      </w:r>
      <w:r>
        <w:t xml:space="preserve"> </w:t>
      </w:r>
      <w:r>
        <w:t xml:space="preserve">within 12 months</w:t>
      </w:r>
    </w:p>
    <w:p>
      <w:pPr>
        <w:pStyle w:val="FirstParagraph"/>
      </w:pPr>
      <w:r>
        <w:rPr>
          <w:b/>
          <w:bCs/>
        </w:rPr>
        <w:t xml:space="preserve">ConMon Program (CA-7):</w:t>
      </w:r>
    </w:p>
    <w:p>
      <w:pPr>
        <w:pStyle w:val="Compact"/>
        <w:numPr>
          <w:ilvl w:val="0"/>
          <w:numId w:val="1033"/>
        </w:numPr>
      </w:pPr>
      <w:r>
        <w:t xml:space="preserve">Sentinel ConMon dashboard active and accessible</w:t>
      </w:r>
    </w:p>
    <w:p>
      <w:pPr>
        <w:pStyle w:val="Compact"/>
        <w:numPr>
          <w:ilvl w:val="0"/>
          <w:numId w:val="1034"/>
        </w:numPr>
      </w:pPr>
      <w:r>
        <w:t xml:space="preserve">Monthly AR automation configured (Azure Logic App or scheduled task)</w:t>
      </w:r>
    </w:p>
    <w:p>
      <w:pPr>
        <w:pStyle w:val="Compact"/>
        <w:numPr>
          <w:ilvl w:val="0"/>
          <w:numId w:val="1035"/>
        </w:numPr>
      </w:pPr>
      <w:r>
        <w:t xml:space="preserve">Quarterly KSI review cadence documented in PM-14 T&amp;T&amp;M plan</w:t>
      </w:r>
    </w:p>
    <w:p>
      <w:pPr>
        <w:pStyle w:val="Compact"/>
        <w:numPr>
          <w:ilvl w:val="0"/>
          <w:numId w:val="1036"/>
        </w:numPr>
      </w:pPr>
      <w:r>
        <w:t xml:space="preserve">ISSO designated and documented in PM-2 leadership RACI</w:t>
      </w:r>
    </w:p>
    <w:bookmarkEnd w:id="47"/>
    <w:bookmarkStart w:id="48" w:name="authorization-decision-package-procedure"/>
    <w:p>
      <w:pPr>
        <w:pStyle w:val="Heading2"/>
      </w:pPr>
      <w:r>
        <w:t xml:space="preserve">9.2 8.2 Authorization-Decision Package Procedure</w:t>
      </w:r>
    </w:p>
    <w:p>
      <w:pPr>
        <w:pStyle w:val="SourceCode"/>
      </w:pPr>
      <w:r>
        <w:rPr>
          <w:rStyle w:val="CommentTok"/>
        </w:rPr>
        <w:t xml:space="preserve"># 1. Generate final OSCAL bundle</w:t>
      </w:r>
      <w:r>
        <w:br/>
      </w:r>
      <w:r>
        <w:rPr>
          <w:rStyle w:val="OperatorTok"/>
        </w:rPr>
        <w:t xml:space="preserve">&lt;</w:t>
      </w:r>
      <w:r>
        <w:rPr>
          <w:rStyle w:val="NormalTok"/>
        </w:rPr>
        <w:t xml:space="preserve">engine</w:t>
      </w:r>
      <w:r>
        <w:rPr>
          <w:rStyle w:val="OperatorTok"/>
        </w:rPr>
        <w:t xml:space="preserve">&gt;</w:t>
      </w:r>
      <w:r>
        <w:rPr>
          <w:rStyle w:val="NormalTok"/>
        </w:rPr>
        <w:t xml:space="preserve"> oscal </w:t>
      </w:r>
      <w:r>
        <w:rPr>
          <w:rStyle w:val="ExtensionTok"/>
        </w:rPr>
        <w:t xml:space="preserve">bundle</w:t>
      </w:r>
      <w:r>
        <w:rPr>
          <w:rStyle w:val="NormalTok"/>
        </w:rPr>
        <w:t xml:space="preserve"> </w:t>
      </w:r>
      <w:r>
        <w:rPr>
          <w:rStyle w:val="DataTypeTok"/>
        </w:rPr>
        <w:t xml:space="preserve">\</w:t>
      </w:r>
      <w:r>
        <w:br/>
      </w:r>
      <w:r>
        <w:rPr>
          <w:rStyle w:val="NormalTok"/>
        </w:rPr>
        <w:t xml:space="preserve"> </w:t>
      </w:r>
      <w:r>
        <w:rPr>
          <w:rStyle w:val="AttributeTok"/>
        </w:rPr>
        <w:t xml:space="preserve">--system-name</w:t>
      </w:r>
      <w:r>
        <w:rPr>
          <w:rStyle w:val="NormalTok"/>
        </w:rPr>
        <w:t xml:space="preserve"> </w:t>
      </w:r>
      <w:r>
        <w:rPr>
          <w:rStyle w:val="StringTok"/>
        </w:rPr>
        <w:t xml:space="preserve">"Agency GCC Moderate"</w:t>
      </w:r>
      <w:r>
        <w:rPr>
          <w:rStyle w:val="NormalTok"/>
        </w:rPr>
        <w:t xml:space="preserve"> </w:t>
      </w:r>
      <w:r>
        <w:rPr>
          <w:rStyle w:val="DataTypeTok"/>
        </w:rPr>
        <w:t xml:space="preserve">\</w:t>
      </w:r>
      <w:r>
        <w:br/>
      </w:r>
      <w:r>
        <w:rPr>
          <w:rStyle w:val="NormalTok"/>
        </w:rPr>
        <w:t xml:space="preserve"> </w:t>
      </w:r>
      <w:r>
        <w:rPr>
          <w:rStyle w:val="AttributeTok"/>
        </w:rPr>
        <w:t xml:space="preserve">--ssp-href</w:t>
      </w:r>
      <w:r>
        <w:rPr>
          <w:rStyle w:val="NormalTok"/>
        </w:rPr>
        <w:t xml:space="preserve"> </w:t>
      </w:r>
      <w:r>
        <w:rPr>
          <w:rStyle w:val="StringTok"/>
        </w:rPr>
        <w:t xml:space="preserve">"#&lt;ssp-uuid-from-engine-ssp-generator&gt;"</w:t>
      </w:r>
      <w:r>
        <w:br/>
      </w:r>
      <w:r>
        <w:br/>
      </w:r>
      <w:r>
        <w:rPr>
          <w:rStyle w:val="CommentTok"/>
        </w:rPr>
        <w:t xml:space="preserve"># 2. Archive with date stamp</w:t>
      </w:r>
      <w:r>
        <w:br/>
      </w:r>
      <w:r>
        <w:rPr>
          <w:rStyle w:val="FunctionTok"/>
        </w:rPr>
        <w:t xml:space="preserve">cp</w:t>
      </w:r>
      <w:r>
        <w:rPr>
          <w:rStyle w:val="NormalTok"/>
        </w:rPr>
        <w:t xml:space="preserve"> </w:t>
      </w:r>
      <w:r>
        <w:rPr>
          <w:rStyle w:val="AttributeTok"/>
        </w:rPr>
        <w:t xml:space="preserve">-r</w:t>
      </w:r>
      <w:r>
        <w:rPr>
          <w:rStyle w:val="NormalTok"/>
        </w:rPr>
        <w:t xml:space="preserve"> output/artifacts/ksi-bundle/ </w:t>
      </w:r>
      <w:r>
        <w:rPr>
          <w:rStyle w:val="DataTypeTok"/>
        </w:rPr>
        <w:t xml:space="preserve">\</w:t>
      </w:r>
      <w:r>
        <w:br/>
      </w:r>
      <w:r>
        <w:rPr>
          <w:rStyle w:val="NormalTok"/>
        </w:rPr>
        <w:t xml:space="preserve"> output/artifacts/ksi-bundle/history/</w:t>
      </w:r>
      <w:r>
        <w:rPr>
          <w:rStyle w:val="VariableTok"/>
        </w:rPr>
        <w:t xml:space="preserve">$(</w:t>
      </w:r>
      <w:r>
        <w:rPr>
          <w:rStyle w:val="FunctionTok"/>
        </w:rPr>
        <w:t xml:space="preserve">date</w:t>
      </w:r>
      <w:r>
        <w:rPr>
          <w:rStyle w:val="NormalTok"/>
        </w:rPr>
        <w:t xml:space="preserve"> +%Y%m</w:t>
      </w:r>
      <w:r>
        <w:rPr>
          <w:rStyle w:val="VariableTok"/>
        </w:rPr>
        <w:t xml:space="preserve">)</w:t>
      </w:r>
      <w:r>
        <w:rPr>
          <w:rStyle w:val="NormalTok"/>
        </w:rPr>
        <w:t xml:space="preserve">/</w:t>
      </w:r>
      <w:r>
        <w:br/>
      </w:r>
      <w:r>
        <w:br/>
      </w:r>
      <w:r>
        <w:rPr>
          <w:rStyle w:val="CommentTok"/>
        </w:rPr>
        <w:t xml:space="preserve"># 3. Validate bundle structure</w:t>
      </w:r>
      <w:r>
        <w:br/>
      </w:r>
      <w:r>
        <w:rPr>
          <w:rStyle w:val="ExtensionTok"/>
        </w:rPr>
        <w:t xml:space="preserve">python3</w:t>
      </w:r>
      <w:r>
        <w:rPr>
          <w:rStyle w:val="NormalTok"/>
        </w:rPr>
        <w:t xml:space="preserve"> </w:t>
      </w:r>
      <w:r>
        <w:rPr>
          <w:rStyle w:val="AttributeTok"/>
        </w:rPr>
        <w:t xml:space="preserve">-c</w:t>
      </w:r>
      <w:r>
        <w:rPr>
          <w:rStyle w:val="NormalTok"/>
        </w:rPr>
        <w:t xml:space="preserve"> </w:t>
      </w:r>
      <w:r>
        <w:rPr>
          <w:rStyle w:val="StringTok"/>
        </w:rPr>
        <w:t xml:space="preserve">"</w:t>
      </w:r>
      <w:r>
        <w:br/>
      </w:r>
      <w:r>
        <w:rPr>
          <w:rStyle w:val="StringTok"/>
        </w:rPr>
        <w:t xml:space="preserve">import json</w:t>
      </w:r>
      <w:r>
        <w:br/>
      </w:r>
      <w:r>
        <w:rPr>
          <w:rStyle w:val="StringTok"/>
        </w:rPr>
        <w:t xml:space="preserve">for name in ['ksi-ap.json', 'ksi-ar.json', 'ksi-poam.json']:</w:t>
      </w:r>
      <w:r>
        <w:br/>
      </w:r>
      <w:r>
        <w:rPr>
          <w:rStyle w:val="StringTok"/>
        </w:rPr>
        <w:t xml:space="preserve"> doc = json.load(open(f'output/artifacts/ksi-bundle/{name}'))</w:t>
      </w:r>
      <w:r>
        <w:br/>
      </w:r>
      <w:r>
        <w:rPr>
          <w:rStyle w:val="StringTok"/>
        </w:rPr>
        <w:t xml:space="preserve"> print(f'{name}: OK — {list(doc.keys)[0]}')</w:t>
      </w:r>
      <w:r>
        <w:br/>
      </w:r>
      <w:r>
        <w:rPr>
          <w:rStyle w:val="StringTok"/>
        </w:rPr>
        <w:t xml:space="preserve">"</w:t>
      </w:r>
      <w:r>
        <w:br/>
      </w:r>
      <w:r>
        <w:br/>
      </w:r>
      <w:r>
        <w:rPr>
          <w:rStyle w:val="CommentTok"/>
        </w:rPr>
        <w:t xml:space="preserve"># 4. Package for the Agency AO review</w:t>
      </w:r>
      <w:r>
        <w:br/>
      </w:r>
      <w:r>
        <w:rPr>
          <w:rStyle w:val="FunctionTok"/>
        </w:rPr>
        <w:t xml:space="preserve">zip</w:t>
      </w:r>
      <w:r>
        <w:rPr>
          <w:rStyle w:val="NormalTok"/>
        </w:rPr>
        <w:t xml:space="preserve"> </w:t>
      </w:r>
      <w:r>
        <w:rPr>
          <w:rStyle w:val="AttributeTok"/>
        </w:rPr>
        <w:t xml:space="preserve">-r</w:t>
      </w:r>
      <w:r>
        <w:rPr>
          <w:rStyle w:val="NormalTok"/>
        </w:rPr>
        <w:t xml:space="preserve"> ssa-gcc-moderate-authpkg-</w:t>
      </w:r>
      <w:r>
        <w:rPr>
          <w:rStyle w:val="VariableTok"/>
        </w:rPr>
        <w:t xml:space="preserve">$(</w:t>
      </w:r>
      <w:r>
        <w:rPr>
          <w:rStyle w:val="FunctionTok"/>
        </w:rPr>
        <w:t xml:space="preserve">date</w:t>
      </w:r>
      <w:r>
        <w:rPr>
          <w:rStyle w:val="NormalTok"/>
        </w:rPr>
        <w:t xml:space="preserve"> +%Y%m%d</w:t>
      </w:r>
      <w:r>
        <w:rPr>
          <w:rStyle w:val="VariableTok"/>
        </w:rPr>
        <w:t xml:space="preserve">)</w:t>
      </w:r>
      <w:r>
        <w:rPr>
          <w:rStyle w:val="NormalTok"/>
        </w:rPr>
        <w:t xml:space="preserve">.zip </w:t>
      </w:r>
      <w:r>
        <w:rPr>
          <w:rStyle w:val="DataTypeTok"/>
        </w:rPr>
        <w:t xml:space="preserve">\</w:t>
      </w:r>
      <w:r>
        <w:br/>
      </w:r>
      <w:r>
        <w:rPr>
          <w:rStyle w:val="NormalTok"/>
        </w:rPr>
        <w:t xml:space="preserve"> output/artifacts/ksi-bundle/ </w:t>
      </w:r>
      <w:r>
        <w:rPr>
          <w:rStyle w:val="DataTypeTok"/>
        </w:rPr>
        <w:t xml:space="preserve">\</w:t>
      </w:r>
      <w:r>
        <w:br/>
      </w:r>
      <w:r>
        <w:rPr>
          <w:rStyle w:val="NormalTok"/>
        </w:rPr>
        <w:t xml:space="preserve"> inbox/Application\ Aware\ Networking/Book_</w:t>
      </w:r>
      <w:r>
        <w:rPr>
          <w:rStyle w:val="PreprocessorTok"/>
        </w:rPr>
        <w:t xml:space="preserve">*</w:t>
      </w:r>
      <w:r>
        <w:rPr>
          <w:rStyle w:val="NormalTok"/>
        </w:rPr>
        <w:t xml:space="preserve">.docx</w:t>
      </w:r>
    </w:p>
    <w:p>
      <w:r>
        <w:pict>
          <v:rect style="width:0;height:1.5pt" o:hralign="center" o:hrstd="t" o:hr="t"/>
        </w:pict>
      </w:r>
    </w:p>
    <w:bookmarkEnd w:id="48"/>
    <w:bookmarkEnd w:id="49"/>
    <w:bookmarkStart w:id="50" w:name="controls-closed-by-this-document"/>
    <w:p>
      <w:pPr>
        <w:pStyle w:val="Heading1"/>
      </w:pPr>
      <w:r>
        <w:t xml:space="preserve">10. 9 Controls Closed by This Document</w:t>
      </w:r>
    </w:p>
    <w:p>
      <w:pPr>
        <w:pStyle w:val="TableCaption"/>
      </w:pPr>
      <w:r>
        <w:t xml:space="preserve">Controls Closed by Vol IV Book 06</w:t>
      </w:r>
    </w:p>
    <w:tbl>
      <w:tblPr>
        <w:tblStyle w:val="Table"/>
        <w:tblW w:type="pct" w:w="5000"/>
        <w:tblLayout w:type="fixed"/>
        <w:tblLook w:firstRow="1" w:lastRow="0" w:firstColumn="0" w:lastColumn="0" w:noHBand="0" w:noVBand="0" w:val="0020"/>
        <w:tblCaption w:val="Controls Closed by Vol IV Book 06"/>
      </w:tblPr>
      <w:tblGrid>
        <w:gridCol w:w="2036"/>
        <w:gridCol w:w="1584"/>
        <w:gridCol w:w="4299"/>
      </w:tblGrid>
      <w:tr>
        <w:trPr>
          <w:tblHeader w:val="on"/>
        </w:trPr>
        <w:tc>
          <w:tcPr/>
          <w:p>
            <w:pPr>
              <w:pStyle w:val="Compact"/>
            </w:pPr>
            <w:r>
              <w:t xml:space="preserve">Control</w:t>
            </w:r>
          </w:p>
        </w:tc>
        <w:tc>
          <w:tcPr/>
          <w:p>
            <w:pPr>
              <w:pStyle w:val="Compact"/>
            </w:pPr>
            <w:r>
              <w:t xml:space="preserve">Title</w:t>
            </w:r>
          </w:p>
        </w:tc>
        <w:tc>
          <w:tcPr/>
          <w:p>
            <w:pPr>
              <w:pStyle w:val="Compact"/>
            </w:pPr>
            <w:r>
              <w:t xml:space="preserve">Closure Mechanism</w:t>
            </w:r>
          </w:p>
        </w:tc>
      </w:tr>
      <w:tr>
        <w:tc>
          <w:tcPr/>
          <w:p>
            <w:pPr>
              <w:pStyle w:val="Compact"/>
            </w:pPr>
            <w:r>
              <w:rPr>
                <w:b/>
                <w:bCs/>
              </w:rPr>
              <w:t xml:space="preserve">CA-2</w:t>
            </w:r>
          </w:p>
        </w:tc>
        <w:tc>
          <w:tcPr/>
          <w:p>
            <w:pPr>
              <w:pStyle w:val="Compact"/>
            </w:pPr>
            <w:r>
              <w:t xml:space="preserve">Control Assessments</w:t>
            </w:r>
          </w:p>
        </w:tc>
        <w:tc>
          <w:tcPr/>
          <w:p>
            <w:pPr>
              <w:pStyle w:val="Compact"/>
            </w:pPr>
            <w:r>
              <w:t xml:space="preserve">OSCAL AR (</w:t>
            </w:r>
            <w:r>
              <w:rPr>
                <w:rStyle w:val="VerbatimChar"/>
              </w:rPr>
              <w:t xml:space="preserve">ksi-ar.json</w:t>
            </w:r>
            <w:r>
              <w:t xml:space="preserve">) is the formal security assessment record for all 29 internal KSI-decomposition rules; generated by</w:t>
            </w:r>
            <w:r>
              <w:t xml:space="preserve"> </w:t>
            </w:r>
            <w:r>
              <w:rPr>
                <w:rStyle w:val="VerbatimChar"/>
              </w:rPr>
              <w:t xml:space="preserve">&lt;engine&gt; oscal bundle</w:t>
            </w:r>
            <w:r>
              <w:t xml:space="preserve"> </w:t>
            </w:r>
            <w:r>
              <w:t xml:space="preserve">on a monthly cadence</w:t>
            </w:r>
          </w:p>
        </w:tc>
      </w:tr>
      <w:tr>
        <w:tc>
          <w:tcPr/>
          <w:p>
            <w:pPr>
              <w:pStyle w:val="Compact"/>
            </w:pPr>
            <w:r>
              <w:rPr>
                <w:b/>
                <w:bCs/>
              </w:rPr>
              <w:t xml:space="preserve">CA-5</w:t>
            </w:r>
          </w:p>
        </w:tc>
        <w:tc>
          <w:tcPr/>
          <w:p>
            <w:pPr>
              <w:pStyle w:val="Compact"/>
            </w:pPr>
            <w:r>
              <w:t xml:space="preserve">Plan of Action and Milestones</w:t>
            </w:r>
          </w:p>
        </w:tc>
        <w:tc>
          <w:tcPr/>
          <w:p>
            <w:pPr>
              <w:pStyle w:val="Compact"/>
            </w:pPr>
            <w:r>
              <w:t xml:space="preserve">OSCAL POA&amp;M (</w:t>
            </w:r>
            <w:r>
              <w:rPr>
                <w:rStyle w:val="VerbatimChar"/>
              </w:rPr>
              <w:t xml:space="preserve">ksi-poam.json</w:t>
            </w:r>
            <w:r>
              <w:t xml:space="preserve">) is the formal POA&amp;M; auto-populated from AR findings; zero items in current run</w:t>
            </w:r>
          </w:p>
        </w:tc>
      </w:tr>
      <w:tr>
        <w:tc>
          <w:tcPr/>
          <w:p>
            <w:pPr>
              <w:pStyle w:val="Compact"/>
            </w:pPr>
            <w:r>
              <w:rPr>
                <w:b/>
                <w:bCs/>
              </w:rPr>
              <w:t xml:space="preserve">CA-6</w:t>
            </w:r>
          </w:p>
        </w:tc>
        <w:tc>
          <w:tcPr/>
          <w:p>
            <w:pPr>
              <w:pStyle w:val="Compact"/>
            </w:pPr>
            <w:r>
              <w:t xml:space="preserve">Authorization</w:t>
            </w:r>
          </w:p>
        </w:tc>
        <w:tc>
          <w:tcPr/>
          <w:p>
            <w:pPr>
              <w:pStyle w:val="Compact"/>
            </w:pPr>
            <w:r>
              <w:t xml:space="preserve">Agency ATO package structure documented in §4; assembly checklist in §8; AO review roles in §6.4; leveraged FedRAMP authorizations documented as inherited controls in the SSP</w:t>
            </w:r>
          </w:p>
        </w:tc>
      </w:tr>
      <w:tr>
        <w:tc>
          <w:tcPr/>
          <w:p>
            <w:pPr>
              <w:pStyle w:val="Compact"/>
            </w:pPr>
            <w:r>
              <w:rPr>
                <w:b/>
                <w:bCs/>
              </w:rPr>
              <w:t xml:space="preserve">CA-7</w:t>
            </w:r>
          </w:p>
        </w:tc>
        <w:tc>
          <w:tcPr/>
          <w:p>
            <w:pPr>
              <w:pStyle w:val="Compact"/>
            </w:pPr>
            <w:r>
              <w:t xml:space="preserve">Continuous Monitoring</w:t>
            </w:r>
          </w:p>
        </w:tc>
        <w:tc>
          <w:tcPr/>
          <w:p>
            <w:pPr>
              <w:pStyle w:val="Compact"/>
            </w:pPr>
            <w:r>
              <w:t xml:space="preserve">Monthly</w:t>
            </w:r>
            <w:r>
              <w:t xml:space="preserve"> </w:t>
            </w:r>
            <w:r>
              <w:rPr>
                <w:rStyle w:val="VerbatimChar"/>
              </w:rPr>
              <w:t xml:space="preserve">&lt;engine&gt; oscal bundle</w:t>
            </w:r>
            <w:r>
              <w:t xml:space="preserve"> </w:t>
            </w:r>
            <w:r>
              <w:t xml:space="preserve">→ Sentinel dashboard; quarterly KSI trend review; evidence freshness rules per slot in §6.2</w:t>
            </w:r>
          </w:p>
        </w:tc>
      </w:tr>
      <w:tr>
        <w:tc>
          <w:tcPr/>
          <w:p>
            <w:pPr>
              <w:pStyle w:val="Compact"/>
            </w:pPr>
            <w:r>
              <w:rPr>
                <w:b/>
                <w:bCs/>
              </w:rPr>
              <w:t xml:space="preserve">CA-7(1)</w:t>
            </w:r>
          </w:p>
        </w:tc>
        <w:tc>
          <w:tcPr/>
          <w:p>
            <w:pPr>
              <w:pStyle w:val="Compact"/>
            </w:pPr>
            <w:r>
              <w:t xml:space="preserve">Independent Assessment</w:t>
            </w:r>
          </w:p>
        </w:tc>
        <w:tc>
          <w:tcPr/>
          <w:p>
            <w:pPr>
              <w:pStyle w:val="Compact"/>
            </w:pPr>
            <w:r>
              <w:t xml:space="preserve">Independent security control assessment (SCA) of the OSCAL AR — Agency may engage a FedRAMP-recognized 3PAO as its assessor — constitutes the independent assessment; ScuBAGear is run by the Agency ISSO as agency self-assessment against the external CISA ScuBA baseline, feeding the same M365 evidence into that engagement</w:t>
            </w:r>
          </w:p>
        </w:tc>
      </w:tr>
      <w:tr>
        <w:tc>
          <w:tcPr/>
          <w:p>
            <w:pPr>
              <w:pStyle w:val="Compact"/>
            </w:pPr>
            <w:r>
              <w:rPr>
                <w:b/>
                <w:bCs/>
              </w:rPr>
              <w:t xml:space="preserve">CA-7(3)</w:t>
            </w:r>
          </w:p>
        </w:tc>
        <w:tc>
          <w:tcPr/>
          <w:p>
            <w:pPr>
              <w:pStyle w:val="Compact"/>
            </w:pPr>
            <w:r>
              <w:t xml:space="preserve">Trend Analyses</w:t>
            </w:r>
          </w:p>
        </w:tc>
        <w:tc>
          <w:tcPr/>
          <w:p>
            <w:pPr>
              <w:pStyle w:val="Compact"/>
            </w:pPr>
            <w:r>
              <w:t xml:space="preserve">Sentinel KSI Status Workbook; AR history archive in</w:t>
            </w:r>
            <w:r>
              <w:t xml:space="preserve"> </w:t>
            </w:r>
            <w:r>
              <w:rPr>
                <w:rStyle w:val="VerbatimChar"/>
              </w:rPr>
              <w:t xml:space="preserve">output/artifacts/ksi-bundle/history/</w:t>
            </w:r>
            <w:r>
              <w:t xml:space="preserve">; quarterly trend briefing to AO</w:t>
            </w:r>
          </w:p>
        </w:tc>
      </w:tr>
      <w:tr>
        <w:tc>
          <w:tcPr/>
          <w:p>
            <w:pPr>
              <w:pStyle w:val="Compact"/>
            </w:pPr>
            <w:r>
              <w:rPr>
                <w:b/>
                <w:bCs/>
              </w:rPr>
              <w:t xml:space="preserve">RA-3</w:t>
            </w:r>
          </w:p>
        </w:tc>
        <w:tc>
          <w:tcPr/>
          <w:p>
            <w:pPr>
              <w:pStyle w:val="Compact"/>
            </w:pPr>
            <w:r>
              <w:t xml:space="preserve">Risk Assessment</w:t>
            </w:r>
          </w:p>
        </w:tc>
        <w:tc>
          <w:tcPr/>
          <w:p>
            <w:pPr>
              <w:pStyle w:val="Compact"/>
            </w:pPr>
            <w:r>
              <w:t xml:space="preserve">OSCAL AR risk entries feed PM-9 risk register; residual risk taxonomy in §7.2</w:t>
            </w:r>
          </w:p>
        </w:tc>
      </w:tr>
      <w:tr>
        <w:tc>
          <w:tcPr/>
          <w:p>
            <w:pPr>
              <w:pStyle w:val="Compact"/>
            </w:pPr>
            <w:r>
              <w:rPr>
                <w:b/>
                <w:bCs/>
              </w:rPr>
              <w:t xml:space="preserve">SA-15</w:t>
            </w:r>
          </w:p>
        </w:tc>
        <w:tc>
          <w:tcPr/>
          <w:p>
            <w:pPr>
              <w:pStyle w:val="Compact"/>
            </w:pPr>
            <w:r>
              <w:t xml:space="preserve">Development Process, Standards, and Tools</w:t>
            </w:r>
          </w:p>
        </w:tc>
        <w:tc>
          <w:tcPr/>
          <w:p>
            <w:pPr>
              <w:pStyle w:val="Compact"/>
            </w:pPr>
            <w:r>
              <w:t xml:space="preserve">The slot evaluator, series origin, and diagram pipeline are documented design decisions of record covering the development process used to build the evidence pipeline; the engine’s CI/CD gate (lint, type-check, and unit-test suite) is the SA-15 toolchain evidence</w:t>
            </w:r>
          </w:p>
        </w:tc>
      </w:tr>
    </w:tbl>
    <w:p>
      <w:r>
        <w:pict>
          <v:rect style="width:0;height:1.5pt" o:hralign="center" o:hrstd="t" o:hr="t"/>
        </w:pict>
      </w:r>
    </w:p>
    <w:bookmarkEnd w:id="50"/>
    <w:bookmarkStart w:id="51" w:name="appendix-a-oscal-ar-findings-summary"/>
    <w:p>
      <w:pPr>
        <w:pStyle w:val="Heading1"/>
      </w:pPr>
      <w:r>
        <w:t xml:space="preserve">11. Appendix A — OSCAL AR Findings Summary</w:t>
      </w:r>
    </w:p>
    <w:p>
      <w:pPr>
        <w:pStyle w:val="FirstParagraph"/>
      </w:pPr>
      <w:r>
        <w:t xml:space="preserve">The following table summarizes the 29 KSI findings from the July 4, 2026 bundle</w:t>
      </w:r>
      <w:r>
        <w:t xml:space="preserve"> </w:t>
      </w:r>
      <w:r>
        <w:t xml:space="preserve">run (self-assessment). All 29 are evaluated as satisfied pending independent SCA.</w:t>
      </w:r>
    </w:p>
    <w:p>
      <w:pPr>
        <w:pStyle w:val="BlockText"/>
      </w:pPr>
      <w:r>
        <w:rPr>
          <w:b/>
          <w:bCs/>
        </w:rPr>
        <w:t xml:space="preserve">Indicator-level mapping is NOT asserted here.</w:t>
      </w:r>
      <w:r>
        <w:t xml:space="preserve"> </w:t>
      </w:r>
      <w:r>
        <w:t xml:space="preserve">The</w:t>
      </w:r>
      <w:r>
        <w:t xml:space="preserve"> </w:t>
      </w:r>
      <w:r>
        <w:rPr>
          <w:rStyle w:val="VerbatimChar"/>
        </w:rPr>
        <w:t xml:space="preserve">CR26 Theme</w:t>
      </w:r>
      <w:r>
        <w:t xml:space="preserve"> </w:t>
      </w:r>
      <w:r>
        <w:t xml:space="preserve">column gives the CR26 Moderate</w:t>
      </w:r>
      <w:r>
        <w:t xml:space="preserve"> </w:t>
      </w:r>
      <w:r>
        <w:rPr>
          <w:i/>
          <w:iCs/>
        </w:rPr>
        <w:t xml:space="preserve">theme</w:t>
      </w:r>
      <w:r>
        <w:t xml:space="preserve"> </w:t>
      </w:r>
      <w:r>
        <w:t xml:space="preserve">each internal rule contributes to; the authoritative rule→indicator reconciliation (19 of the 46 CR26 indicators mapped) lives in</w:t>
      </w:r>
      <w:r>
        <w:t xml:space="preserve"> </w:t>
      </w:r>
      <w:r>
        <w:rPr>
          <w:rStyle w:val="VerbatimChar"/>
        </w:rPr>
        <w:t xml:space="preserve">Compliance_CR26_Reconciliation.md</w:t>
      </w:r>
      <w:r>
        <w:t xml:space="preserve">. The</w:t>
      </w:r>
      <w:r>
        <w:t xml:space="preserve"> </w:t>
      </w:r>
      <w:r>
        <w:rPr>
          <w:rStyle w:val="VerbatimChar"/>
        </w:rPr>
        <w:t xml:space="preserve">KSI-0NN</w:t>
      </w:r>
      <w:r>
        <w:t xml:space="preserve"> </w:t>
      </w:r>
      <w:r>
        <w:t xml:space="preserve">ids are the series’ internal rules, not CR26 indicator ids.</w:t>
      </w:r>
    </w:p>
    <w:p>
      <w:pPr>
        <w:pStyle w:val="TableCaption"/>
      </w:pPr>
      <w:r>
        <w:t xml:space="preserve">KSI Findings Summary — July 4, 2026 Bundle Run</w:t>
      </w:r>
    </w:p>
    <w:tbl>
      <w:tblPr>
        <w:tblStyle w:val="Table"/>
        <w:tblW w:type="auto" w:w="0"/>
        <w:tblLook w:firstRow="1" w:lastRow="0" w:firstColumn="0" w:lastColumn="0" w:noHBand="0" w:noVBand="0" w:val="0020"/>
        <w:tblCaption w:val="KSI Findings Summary — July 4, 2026 Bundle Run"/>
      </w:tblPr>
      <w:tblGrid>
        <w:gridCol w:w="1980"/>
        <w:gridCol w:w="1980"/>
        <w:gridCol w:w="1980"/>
        <w:gridCol w:w="1980"/>
      </w:tblGrid>
      <w:tr>
        <w:trPr>
          <w:tblHeader w:val="on"/>
        </w:trPr>
        <w:tc>
          <w:tcPr/>
          <w:p>
            <w:pPr>
              <w:pStyle w:val="Compact"/>
            </w:pPr>
            <w:r>
              <w:t xml:space="preserve">KSI ID</w:t>
            </w:r>
          </w:p>
        </w:tc>
        <w:tc>
          <w:tcPr/>
          <w:p>
            <w:pPr>
              <w:pStyle w:val="Compact"/>
            </w:pPr>
            <w:r>
              <w:t xml:space="preserve">CR26 Theme</w:t>
            </w:r>
          </w:p>
        </w:tc>
        <w:tc>
          <w:tcPr/>
          <w:p>
            <w:pPr>
              <w:pStyle w:val="Compact"/>
            </w:pPr>
            <w:r>
              <w:t xml:space="preserve">Evaluation Path</w:t>
            </w:r>
          </w:p>
        </w:tc>
        <w:tc>
          <w:tcPr/>
          <w:p>
            <w:pPr>
              <w:pStyle w:val="Compact"/>
            </w:pPr>
            <w:r>
              <w:t xml:space="preserve">Verdict</w:t>
            </w:r>
          </w:p>
        </w:tc>
      </w:tr>
      <w:tr>
        <w:tc>
          <w:tcPr/>
          <w:p>
            <w:pPr>
              <w:pStyle w:val="Compact"/>
            </w:pPr>
            <w:r>
              <w:t xml:space="preserve">KSI-001</w:t>
            </w:r>
          </w:p>
        </w:tc>
        <w:tc>
          <w:tcPr/>
          <w:p>
            <w:pPr>
              <w:pStyle w:val="Compact"/>
            </w:pPr>
            <w:r>
              <w:t xml:space="preserve">KSI-IAM</w:t>
            </w:r>
          </w:p>
        </w:tc>
        <w:tc>
          <w:tcPr/>
          <w:p>
            <w:pPr>
              <w:pStyle w:val="Compact"/>
            </w:pPr>
            <w:r>
              <w:t xml:space="preserve">ScuBA (M365-ACCT-001)</w:t>
            </w:r>
          </w:p>
        </w:tc>
        <w:tc>
          <w:tcPr/>
          <w:p>
            <w:pPr>
              <w:pStyle w:val="Compact"/>
            </w:pPr>
            <w:r>
              <w:t xml:space="preserve">satisfied</w:t>
            </w:r>
          </w:p>
        </w:tc>
      </w:tr>
      <w:tr>
        <w:tc>
          <w:tcPr/>
          <w:p>
            <w:pPr>
              <w:pStyle w:val="Compact"/>
            </w:pPr>
            <w:r>
              <w:t xml:space="preserve">KSI-002</w:t>
            </w:r>
          </w:p>
        </w:tc>
        <w:tc>
          <w:tcPr/>
          <w:p>
            <w:pPr>
              <w:pStyle w:val="Compact"/>
            </w:pPr>
            <w:r>
              <w:t xml:space="preserve">KSI-IAM</w:t>
            </w:r>
          </w:p>
        </w:tc>
        <w:tc>
          <w:tcPr/>
          <w:p>
            <w:pPr>
              <w:pStyle w:val="Compact"/>
            </w:pPr>
            <w:r>
              <w:t xml:space="preserve">ScuBA (M365-AUTH-002)</w:t>
            </w:r>
          </w:p>
        </w:tc>
        <w:tc>
          <w:tcPr/>
          <w:p>
            <w:pPr>
              <w:pStyle w:val="Compact"/>
            </w:pPr>
            <w:r>
              <w:t xml:space="preserve">satisfied</w:t>
            </w:r>
          </w:p>
        </w:tc>
      </w:tr>
      <w:tr>
        <w:tc>
          <w:tcPr/>
          <w:p>
            <w:pPr>
              <w:pStyle w:val="Compact"/>
            </w:pPr>
            <w:r>
              <w:t xml:space="preserve">KSI-003</w:t>
            </w:r>
          </w:p>
        </w:tc>
        <w:tc>
          <w:tcPr/>
          <w:p>
            <w:pPr>
              <w:pStyle w:val="Compact"/>
            </w:pPr>
            <w:r>
              <w:t xml:space="preserve">KSI-IAM</w:t>
            </w:r>
          </w:p>
        </w:tc>
        <w:tc>
          <w:tcPr/>
          <w:p>
            <w:pPr>
              <w:pStyle w:val="Compact"/>
            </w:pPr>
            <w:r>
              <w:t xml:space="preserve">ScuBA (M365-PRIV-003)</w:t>
            </w:r>
          </w:p>
        </w:tc>
        <w:tc>
          <w:tcPr/>
          <w:p>
            <w:pPr>
              <w:pStyle w:val="Compact"/>
            </w:pPr>
            <w:r>
              <w:t xml:space="preserve">satisfied</w:t>
            </w:r>
          </w:p>
        </w:tc>
      </w:tr>
      <w:tr>
        <w:tc>
          <w:tcPr/>
          <w:p>
            <w:pPr>
              <w:pStyle w:val="Compact"/>
            </w:pPr>
            <w:r>
              <w:t xml:space="preserve">KSI-004</w:t>
            </w:r>
          </w:p>
        </w:tc>
        <w:tc>
          <w:tcPr/>
          <w:p>
            <w:pPr>
              <w:pStyle w:val="Compact"/>
            </w:pPr>
            <w:r>
              <w:t xml:space="preserve">KSI-SVC</w:t>
            </w:r>
          </w:p>
        </w:tc>
        <w:tc>
          <w:tcPr/>
          <w:p>
            <w:pPr>
              <w:pStyle w:val="Compact"/>
            </w:pPr>
            <w:r>
              <w:t xml:space="preserve">ScuBA (M365-EXO-004)</w:t>
            </w:r>
          </w:p>
        </w:tc>
        <w:tc>
          <w:tcPr/>
          <w:p>
            <w:pPr>
              <w:pStyle w:val="Compact"/>
            </w:pPr>
            <w:r>
              <w:t xml:space="preserve">satisfied</w:t>
            </w:r>
          </w:p>
        </w:tc>
      </w:tr>
      <w:tr>
        <w:tc>
          <w:tcPr/>
          <w:p>
            <w:pPr>
              <w:pStyle w:val="Compact"/>
            </w:pPr>
            <w:r>
              <w:t xml:space="preserve">KSI-005</w:t>
            </w:r>
          </w:p>
        </w:tc>
        <w:tc>
          <w:tcPr/>
          <w:p>
            <w:pPr>
              <w:pStyle w:val="Compact"/>
            </w:pPr>
            <w:r>
              <w:t xml:space="preserve">KSI-MLA</w:t>
            </w:r>
          </w:p>
        </w:tc>
        <w:tc>
          <w:tcPr/>
          <w:p>
            <w:pPr>
              <w:pStyle w:val="Compact"/>
            </w:pPr>
            <w:r>
              <w:t xml:space="preserve">ScuBA (M365-EXO-005)</w:t>
            </w:r>
          </w:p>
        </w:tc>
        <w:tc>
          <w:tcPr/>
          <w:p>
            <w:pPr>
              <w:pStyle w:val="Compact"/>
            </w:pPr>
            <w:r>
              <w:t xml:space="preserve">satisfied</w:t>
            </w:r>
          </w:p>
        </w:tc>
      </w:tr>
      <w:tr>
        <w:tc>
          <w:tcPr/>
          <w:p>
            <w:pPr>
              <w:pStyle w:val="Compact"/>
            </w:pPr>
            <w:r>
              <w:t xml:space="preserve">KSI-006</w:t>
            </w:r>
          </w:p>
        </w:tc>
        <w:tc>
          <w:tcPr/>
          <w:p>
            <w:pPr>
              <w:pStyle w:val="Compact"/>
            </w:pPr>
            <w:r>
              <w:t xml:space="preserve">KSI-MLA</w:t>
            </w:r>
          </w:p>
        </w:tc>
        <w:tc>
          <w:tcPr/>
          <w:p>
            <w:pPr>
              <w:pStyle w:val="Compact"/>
            </w:pPr>
            <w:r>
              <w:t xml:space="preserve">ScuBA (M365-SPO-006)</w:t>
            </w:r>
          </w:p>
        </w:tc>
        <w:tc>
          <w:tcPr/>
          <w:p>
            <w:pPr>
              <w:pStyle w:val="Compact"/>
            </w:pPr>
            <w:r>
              <w:t xml:space="preserve">satisfied</w:t>
            </w:r>
          </w:p>
        </w:tc>
      </w:tr>
      <w:tr>
        <w:tc>
          <w:tcPr/>
          <w:p>
            <w:pPr>
              <w:pStyle w:val="Compact"/>
            </w:pPr>
            <w:r>
              <w:t xml:space="preserve">KSI-007</w:t>
            </w:r>
          </w:p>
        </w:tc>
        <w:tc>
          <w:tcPr/>
          <w:p>
            <w:pPr>
              <w:pStyle w:val="Compact"/>
            </w:pPr>
            <w:r>
              <w:t xml:space="preserve">KSI-SVC</w:t>
            </w:r>
          </w:p>
        </w:tc>
        <w:tc>
          <w:tcPr/>
          <w:p>
            <w:pPr>
              <w:pStyle w:val="Compact"/>
            </w:pPr>
            <w:r>
              <w:t xml:space="preserve">ScuBA (M365-ATP-007)</w:t>
            </w:r>
          </w:p>
        </w:tc>
        <w:tc>
          <w:tcPr/>
          <w:p>
            <w:pPr>
              <w:pStyle w:val="Compact"/>
            </w:pPr>
            <w:r>
              <w:t xml:space="preserve">satisfied</w:t>
            </w:r>
          </w:p>
        </w:tc>
      </w:tr>
      <w:tr>
        <w:tc>
          <w:tcPr/>
          <w:p>
            <w:pPr>
              <w:pStyle w:val="Compact"/>
            </w:pPr>
            <w:r>
              <w:t xml:space="preserve">KSI-008</w:t>
            </w:r>
          </w:p>
        </w:tc>
        <w:tc>
          <w:tcPr/>
          <w:p>
            <w:pPr>
              <w:pStyle w:val="Compact"/>
            </w:pPr>
            <w:r>
              <w:t xml:space="preserve">KSI-SVC</w:t>
            </w:r>
          </w:p>
        </w:tc>
        <w:tc>
          <w:tcPr/>
          <w:p>
            <w:pPr>
              <w:pStyle w:val="Compact"/>
            </w:pPr>
            <w:r>
              <w:t xml:space="preserve">ScuBA (M365-ATP-008)</w:t>
            </w:r>
          </w:p>
        </w:tc>
        <w:tc>
          <w:tcPr/>
          <w:p>
            <w:pPr>
              <w:pStyle w:val="Compact"/>
            </w:pPr>
            <w:r>
              <w:t xml:space="preserve">satisfied</w:t>
            </w:r>
          </w:p>
        </w:tc>
      </w:tr>
      <w:tr>
        <w:tc>
          <w:tcPr/>
          <w:p>
            <w:pPr>
              <w:pStyle w:val="Compact"/>
            </w:pPr>
            <w:r>
              <w:t xml:space="preserve">KSI-009</w:t>
            </w:r>
          </w:p>
        </w:tc>
        <w:tc>
          <w:tcPr/>
          <w:p>
            <w:pPr>
              <w:pStyle w:val="Compact"/>
            </w:pPr>
            <w:r>
              <w:t xml:space="preserve">KSI-IAM</w:t>
            </w:r>
          </w:p>
        </w:tc>
        <w:tc>
          <w:tcPr/>
          <w:p>
            <w:pPr>
              <w:pStyle w:val="Compact"/>
            </w:pPr>
            <w:r>
              <w:t xml:space="preserve">ScuBA (M365-CA-009)</w:t>
            </w:r>
          </w:p>
        </w:tc>
        <w:tc>
          <w:tcPr/>
          <w:p>
            <w:pPr>
              <w:pStyle w:val="Compact"/>
            </w:pPr>
            <w:r>
              <w:t xml:space="preserve">satisfied</w:t>
            </w:r>
          </w:p>
        </w:tc>
      </w:tr>
      <w:tr>
        <w:tc>
          <w:tcPr/>
          <w:p>
            <w:pPr>
              <w:pStyle w:val="Compact"/>
            </w:pPr>
            <w:r>
              <w:t xml:space="preserve">KSI-010</w:t>
            </w:r>
          </w:p>
        </w:tc>
        <w:tc>
          <w:tcPr/>
          <w:p>
            <w:pPr>
              <w:pStyle w:val="Compact"/>
            </w:pPr>
            <w:r>
              <w:t xml:space="preserve">KSI-MLA</w:t>
            </w:r>
          </w:p>
        </w:tc>
        <w:tc>
          <w:tcPr/>
          <w:p>
            <w:pPr>
              <w:pStyle w:val="Compact"/>
            </w:pPr>
            <w:r>
              <w:t xml:space="preserve">ScuBA (M365-DLP-010)</w:t>
            </w:r>
          </w:p>
        </w:tc>
        <w:tc>
          <w:tcPr/>
          <w:p>
            <w:pPr>
              <w:pStyle w:val="Compact"/>
            </w:pPr>
            <w:r>
              <w:t xml:space="preserve">satisfied</w:t>
            </w:r>
          </w:p>
        </w:tc>
      </w:tr>
      <w:tr>
        <w:tc>
          <w:tcPr/>
          <w:p>
            <w:pPr>
              <w:pStyle w:val="Compact"/>
            </w:pPr>
            <w:r>
              <w:t xml:space="preserve">KSI-011</w:t>
            </w:r>
          </w:p>
        </w:tc>
        <w:tc>
          <w:tcPr/>
          <w:p>
            <w:pPr>
              <w:pStyle w:val="Compact"/>
            </w:pPr>
            <w:r>
              <w:t xml:space="preserve">KSI-CMT</w:t>
            </w:r>
          </w:p>
        </w:tc>
        <w:tc>
          <w:tcPr/>
          <w:p>
            <w:pPr>
              <w:pStyle w:val="Compact"/>
            </w:pPr>
            <w:r>
              <w:t xml:space="preserve">slot-06 high (Vol IV Book 02–03)</w:t>
            </w:r>
          </w:p>
        </w:tc>
        <w:tc>
          <w:tcPr/>
          <w:p>
            <w:pPr>
              <w:pStyle w:val="Compact"/>
            </w:pPr>
            <w:r>
              <w:t xml:space="preserve">satisfied</w:t>
            </w:r>
          </w:p>
        </w:tc>
      </w:tr>
      <w:tr>
        <w:tc>
          <w:tcPr/>
          <w:p>
            <w:pPr>
              <w:pStyle w:val="Compact"/>
            </w:pPr>
            <w:r>
              <w:t xml:space="preserve">KSI-012</w:t>
            </w:r>
          </w:p>
        </w:tc>
        <w:tc>
          <w:tcPr/>
          <w:p>
            <w:pPr>
              <w:pStyle w:val="Compact"/>
            </w:pPr>
            <w:r>
              <w:t xml:space="preserve">KSI-CMT</w:t>
            </w:r>
          </w:p>
        </w:tc>
        <w:tc>
          <w:tcPr/>
          <w:p>
            <w:pPr>
              <w:pStyle w:val="Compact"/>
            </w:pPr>
            <w:r>
              <w:t xml:space="preserve">slot-06 high</w:t>
            </w:r>
          </w:p>
        </w:tc>
        <w:tc>
          <w:tcPr/>
          <w:p>
            <w:pPr>
              <w:pStyle w:val="Compact"/>
            </w:pPr>
            <w:r>
              <w:t xml:space="preserve">satisfied</w:t>
            </w:r>
          </w:p>
        </w:tc>
      </w:tr>
      <w:tr>
        <w:tc>
          <w:tcPr/>
          <w:p>
            <w:pPr>
              <w:pStyle w:val="Compact"/>
            </w:pPr>
            <w:r>
              <w:t xml:space="preserve">KSI-013</w:t>
            </w:r>
          </w:p>
        </w:tc>
        <w:tc>
          <w:tcPr/>
          <w:p>
            <w:pPr>
              <w:pStyle w:val="Compact"/>
            </w:pPr>
            <w:r>
              <w:t xml:space="preserve">KSI-CMT</w:t>
            </w:r>
          </w:p>
        </w:tc>
        <w:tc>
          <w:tcPr/>
          <w:p>
            <w:pPr>
              <w:pStyle w:val="Compact"/>
            </w:pPr>
            <w:r>
              <w:t xml:space="preserve">slot-06 high</w:t>
            </w:r>
          </w:p>
        </w:tc>
        <w:tc>
          <w:tcPr/>
          <w:p>
            <w:pPr>
              <w:pStyle w:val="Compact"/>
            </w:pPr>
            <w:r>
              <w:t xml:space="preserve">satisfied</w:t>
            </w:r>
          </w:p>
        </w:tc>
      </w:tr>
      <w:tr>
        <w:tc>
          <w:tcPr/>
          <w:p>
            <w:pPr>
              <w:pStyle w:val="Compact"/>
            </w:pPr>
            <w:r>
              <w:t xml:space="preserve">KSI-014</w:t>
            </w:r>
          </w:p>
        </w:tc>
        <w:tc>
          <w:tcPr/>
          <w:p>
            <w:pPr>
              <w:pStyle w:val="Compact"/>
            </w:pPr>
            <w:r>
              <w:t xml:space="preserve">KSI-CMT</w:t>
            </w:r>
          </w:p>
        </w:tc>
        <w:tc>
          <w:tcPr/>
          <w:p>
            <w:pPr>
              <w:pStyle w:val="Compact"/>
            </w:pPr>
            <w:r>
              <w:t xml:space="preserve">slot-06 high</w:t>
            </w:r>
          </w:p>
        </w:tc>
        <w:tc>
          <w:tcPr/>
          <w:p>
            <w:pPr>
              <w:pStyle w:val="Compact"/>
            </w:pPr>
            <w:r>
              <w:t xml:space="preserve">satisfied</w:t>
            </w:r>
          </w:p>
        </w:tc>
      </w:tr>
      <w:tr>
        <w:tc>
          <w:tcPr/>
          <w:p>
            <w:pPr>
              <w:pStyle w:val="Compact"/>
            </w:pPr>
            <w:r>
              <w:t xml:space="preserve">KSI-015</w:t>
            </w:r>
          </w:p>
        </w:tc>
        <w:tc>
          <w:tcPr/>
          <w:p>
            <w:pPr>
              <w:pStyle w:val="Compact"/>
            </w:pPr>
            <w:r>
              <w:t xml:space="preserve">KSI-SCR</w:t>
            </w:r>
          </w:p>
        </w:tc>
        <w:tc>
          <w:tcPr/>
          <w:p>
            <w:pPr>
              <w:pStyle w:val="Compact"/>
            </w:pPr>
            <w:r>
              <w:t xml:space="preserve">slot-06 high</w:t>
            </w:r>
          </w:p>
        </w:tc>
        <w:tc>
          <w:tcPr/>
          <w:p>
            <w:pPr>
              <w:pStyle w:val="Compact"/>
            </w:pPr>
            <w:r>
              <w:t xml:space="preserve">satisfied</w:t>
            </w:r>
          </w:p>
        </w:tc>
      </w:tr>
      <w:tr>
        <w:tc>
          <w:tcPr/>
          <w:p>
            <w:pPr>
              <w:pStyle w:val="Compact"/>
            </w:pPr>
            <w:r>
              <w:t xml:space="preserve">KSI-016</w:t>
            </w:r>
          </w:p>
        </w:tc>
        <w:tc>
          <w:tcPr/>
          <w:p>
            <w:pPr>
              <w:pStyle w:val="Compact"/>
            </w:pPr>
            <w:r>
              <w:t xml:space="preserve">KSI-SCR</w:t>
            </w:r>
          </w:p>
        </w:tc>
        <w:tc>
          <w:tcPr/>
          <w:p>
            <w:pPr>
              <w:pStyle w:val="Compact"/>
            </w:pPr>
            <w:r>
              <w:t xml:space="preserve">slot-06 high</w:t>
            </w:r>
          </w:p>
        </w:tc>
        <w:tc>
          <w:tcPr/>
          <w:p>
            <w:pPr>
              <w:pStyle w:val="Compact"/>
            </w:pPr>
            <w:r>
              <w:t xml:space="preserve">satisfied</w:t>
            </w:r>
          </w:p>
        </w:tc>
      </w:tr>
      <w:tr>
        <w:tc>
          <w:tcPr/>
          <w:p>
            <w:pPr>
              <w:pStyle w:val="Compact"/>
            </w:pPr>
            <w:r>
              <w:t xml:space="preserve">KSI-017</w:t>
            </w:r>
          </w:p>
        </w:tc>
        <w:tc>
          <w:tcPr/>
          <w:p>
            <w:pPr>
              <w:pStyle w:val="Compact"/>
            </w:pPr>
            <w:r>
              <w:t xml:space="preserve">KSI-PIY</w:t>
            </w:r>
          </w:p>
        </w:tc>
        <w:tc>
          <w:tcPr/>
          <w:p>
            <w:pPr>
              <w:pStyle w:val="Compact"/>
            </w:pPr>
            <w:r>
              <w:t xml:space="preserve">slot-05 high</w:t>
            </w:r>
          </w:p>
        </w:tc>
        <w:tc>
          <w:tcPr/>
          <w:p>
            <w:pPr>
              <w:pStyle w:val="Compact"/>
            </w:pPr>
            <w:r>
              <w:t xml:space="preserve">satisfied</w:t>
            </w:r>
          </w:p>
        </w:tc>
      </w:tr>
      <w:tr>
        <w:tc>
          <w:tcPr/>
          <w:p>
            <w:pPr>
              <w:pStyle w:val="Compact"/>
            </w:pPr>
            <w:r>
              <w:t xml:space="preserve">KSI-018</w:t>
            </w:r>
          </w:p>
        </w:tc>
        <w:tc>
          <w:tcPr/>
          <w:p>
            <w:pPr>
              <w:pStyle w:val="Compact"/>
            </w:pPr>
            <w:r>
              <w:t xml:space="preserve">KSI-PIY</w:t>
            </w:r>
          </w:p>
        </w:tc>
        <w:tc>
          <w:tcPr/>
          <w:p>
            <w:pPr>
              <w:pStyle w:val="Compact"/>
            </w:pPr>
            <w:r>
              <w:t xml:space="preserve">slot-05 high</w:t>
            </w:r>
          </w:p>
        </w:tc>
        <w:tc>
          <w:tcPr/>
          <w:p>
            <w:pPr>
              <w:pStyle w:val="Compact"/>
            </w:pPr>
            <w:r>
              <w:t xml:space="preserve">satisfied</w:t>
            </w:r>
          </w:p>
        </w:tc>
      </w:tr>
      <w:tr>
        <w:tc>
          <w:tcPr/>
          <w:p>
            <w:pPr>
              <w:pStyle w:val="Compact"/>
            </w:pPr>
            <w:r>
              <w:t xml:space="preserve">KSI-019</w:t>
            </w:r>
          </w:p>
        </w:tc>
        <w:tc>
          <w:tcPr/>
          <w:p>
            <w:pPr>
              <w:pStyle w:val="Compact"/>
            </w:pPr>
            <w:r>
              <w:t xml:space="preserve">KSI-PIY</w:t>
            </w:r>
          </w:p>
        </w:tc>
        <w:tc>
          <w:tcPr/>
          <w:p>
            <w:pPr>
              <w:pStyle w:val="Compact"/>
            </w:pPr>
            <w:r>
              <w:t xml:space="preserve">slot-05 high</w:t>
            </w:r>
          </w:p>
        </w:tc>
        <w:tc>
          <w:tcPr/>
          <w:p>
            <w:pPr>
              <w:pStyle w:val="Compact"/>
            </w:pPr>
            <w:r>
              <w:t xml:space="preserve">satisfied</w:t>
            </w:r>
          </w:p>
        </w:tc>
      </w:tr>
      <w:tr>
        <w:tc>
          <w:tcPr/>
          <w:p>
            <w:pPr>
              <w:pStyle w:val="Compact"/>
            </w:pPr>
            <w:r>
              <w:t xml:space="preserve">KSI-020</w:t>
            </w:r>
          </w:p>
        </w:tc>
        <w:tc>
          <w:tcPr/>
          <w:p>
            <w:pPr>
              <w:pStyle w:val="Compact"/>
            </w:pPr>
            <w:r>
              <w:t xml:space="preserve">KSI-PIY</w:t>
            </w:r>
          </w:p>
        </w:tc>
        <w:tc>
          <w:tcPr/>
          <w:p>
            <w:pPr>
              <w:pStyle w:val="Compact"/>
            </w:pPr>
            <w:r>
              <w:t xml:space="preserve">slot-05 high</w:t>
            </w:r>
          </w:p>
        </w:tc>
        <w:tc>
          <w:tcPr/>
          <w:p>
            <w:pPr>
              <w:pStyle w:val="Compact"/>
            </w:pPr>
            <w:r>
              <w:t xml:space="preserve">satisfied</w:t>
            </w:r>
          </w:p>
        </w:tc>
      </w:tr>
      <w:tr>
        <w:tc>
          <w:tcPr/>
          <w:p>
            <w:pPr>
              <w:pStyle w:val="Compact"/>
            </w:pPr>
            <w:r>
              <w:t xml:space="preserve">KSI-021</w:t>
            </w:r>
          </w:p>
        </w:tc>
        <w:tc>
          <w:tcPr/>
          <w:p>
            <w:pPr>
              <w:pStyle w:val="Compact"/>
            </w:pPr>
            <w:r>
              <w:t xml:space="preserve">KSI-PIY</w:t>
            </w:r>
          </w:p>
        </w:tc>
        <w:tc>
          <w:tcPr/>
          <w:p>
            <w:pPr>
              <w:pStyle w:val="Compact"/>
            </w:pPr>
            <w:r>
              <w:t xml:space="preserve">slot-05 high</w:t>
            </w:r>
          </w:p>
        </w:tc>
        <w:tc>
          <w:tcPr/>
          <w:p>
            <w:pPr>
              <w:pStyle w:val="Compact"/>
            </w:pPr>
            <w:r>
              <w:t xml:space="preserve">satisfied</w:t>
            </w:r>
          </w:p>
        </w:tc>
      </w:tr>
      <w:tr>
        <w:tc>
          <w:tcPr/>
          <w:p>
            <w:pPr>
              <w:pStyle w:val="Compact"/>
            </w:pPr>
            <w:r>
              <w:t xml:space="preserve">KSI-022</w:t>
            </w:r>
          </w:p>
        </w:tc>
        <w:tc>
          <w:tcPr/>
          <w:p>
            <w:pPr>
              <w:pStyle w:val="Compact"/>
            </w:pPr>
            <w:r>
              <w:t xml:space="preserve">KSI-CED</w:t>
            </w:r>
          </w:p>
        </w:tc>
        <w:tc>
          <w:tcPr/>
          <w:p>
            <w:pPr>
              <w:pStyle w:val="Compact"/>
            </w:pPr>
            <w:r>
              <w:t xml:space="preserve">slot-08 high (Vol IV Book 05)</w:t>
            </w:r>
          </w:p>
        </w:tc>
        <w:tc>
          <w:tcPr/>
          <w:p>
            <w:pPr>
              <w:pStyle w:val="Compact"/>
            </w:pPr>
            <w:r>
              <w:t xml:space="preserve">satisfied</w:t>
            </w:r>
          </w:p>
        </w:tc>
      </w:tr>
      <w:tr>
        <w:tc>
          <w:tcPr/>
          <w:p>
            <w:pPr>
              <w:pStyle w:val="Compact"/>
            </w:pPr>
            <w:r>
              <w:t xml:space="preserve">KSI-023</w:t>
            </w:r>
          </w:p>
        </w:tc>
        <w:tc>
          <w:tcPr/>
          <w:p>
            <w:pPr>
              <w:pStyle w:val="Compact"/>
            </w:pPr>
            <w:r>
              <w:t xml:space="preserve">KSI-INR</w:t>
            </w:r>
          </w:p>
        </w:tc>
        <w:tc>
          <w:tcPr/>
          <w:p>
            <w:pPr>
              <w:pStyle w:val="Compact"/>
            </w:pPr>
            <w:r>
              <w:t xml:space="preserve">slot-07 high</w:t>
            </w:r>
          </w:p>
        </w:tc>
        <w:tc>
          <w:tcPr/>
          <w:p>
            <w:pPr>
              <w:pStyle w:val="Compact"/>
            </w:pPr>
            <w:r>
              <w:t xml:space="preserve">satisfied</w:t>
            </w:r>
          </w:p>
        </w:tc>
      </w:tr>
      <w:tr>
        <w:tc>
          <w:tcPr/>
          <w:p>
            <w:pPr>
              <w:pStyle w:val="Compact"/>
            </w:pPr>
            <w:r>
              <w:t xml:space="preserve">KSI-024</w:t>
            </w:r>
          </w:p>
        </w:tc>
        <w:tc>
          <w:tcPr/>
          <w:p>
            <w:pPr>
              <w:pStyle w:val="Compact"/>
            </w:pPr>
            <w:r>
              <w:t xml:space="preserve">KSI-INR</w:t>
            </w:r>
          </w:p>
        </w:tc>
        <w:tc>
          <w:tcPr/>
          <w:p>
            <w:pPr>
              <w:pStyle w:val="Compact"/>
            </w:pPr>
            <w:r>
              <w:t xml:space="preserve">slot-04 high</w:t>
            </w:r>
          </w:p>
        </w:tc>
        <w:tc>
          <w:tcPr/>
          <w:p>
            <w:pPr>
              <w:pStyle w:val="Compact"/>
            </w:pPr>
            <w:r>
              <w:t xml:space="preserve">satisfied</w:t>
            </w:r>
          </w:p>
        </w:tc>
      </w:tr>
      <w:tr>
        <w:tc>
          <w:tcPr/>
          <w:p>
            <w:pPr>
              <w:pStyle w:val="Compact"/>
            </w:pPr>
            <w:r>
              <w:t xml:space="preserve">KSI-025</w:t>
            </w:r>
          </w:p>
        </w:tc>
        <w:tc>
          <w:tcPr/>
          <w:p>
            <w:pPr>
              <w:pStyle w:val="Compact"/>
            </w:pPr>
            <w:r>
              <w:t xml:space="preserve">KSI-INR</w:t>
            </w:r>
          </w:p>
        </w:tc>
        <w:tc>
          <w:tcPr/>
          <w:p>
            <w:pPr>
              <w:pStyle w:val="Compact"/>
            </w:pPr>
            <w:r>
              <w:t xml:space="preserve">slot-04 high</w:t>
            </w:r>
          </w:p>
        </w:tc>
        <w:tc>
          <w:tcPr/>
          <w:p>
            <w:pPr>
              <w:pStyle w:val="Compact"/>
            </w:pPr>
            <w:r>
              <w:t xml:space="preserve">satisfied</w:t>
            </w:r>
          </w:p>
        </w:tc>
      </w:tr>
      <w:tr>
        <w:tc>
          <w:tcPr/>
          <w:p>
            <w:pPr>
              <w:pStyle w:val="Compact"/>
            </w:pPr>
            <w:r>
              <w:t xml:space="preserve">KSI-026</w:t>
            </w:r>
          </w:p>
        </w:tc>
        <w:tc>
          <w:tcPr/>
          <w:p>
            <w:pPr>
              <w:pStyle w:val="Compact"/>
            </w:pPr>
            <w:r>
              <w:t xml:space="preserve">KSI-RPL</w:t>
            </w:r>
          </w:p>
        </w:tc>
        <w:tc>
          <w:tcPr/>
          <w:p>
            <w:pPr>
              <w:pStyle w:val="Compact"/>
            </w:pPr>
            <w:r>
              <w:t xml:space="preserve">slot-07 high</w:t>
            </w:r>
          </w:p>
        </w:tc>
        <w:tc>
          <w:tcPr/>
          <w:p>
            <w:pPr>
              <w:pStyle w:val="Compact"/>
            </w:pPr>
            <w:r>
              <w:t xml:space="preserve">satisfied</w:t>
            </w:r>
          </w:p>
        </w:tc>
      </w:tr>
      <w:tr>
        <w:tc>
          <w:tcPr/>
          <w:p>
            <w:pPr>
              <w:pStyle w:val="Compact"/>
            </w:pPr>
            <w:r>
              <w:t xml:space="preserve">KSI-027</w:t>
            </w:r>
          </w:p>
        </w:tc>
        <w:tc>
          <w:tcPr/>
          <w:p>
            <w:pPr>
              <w:pStyle w:val="Compact"/>
            </w:pPr>
            <w:r>
              <w:t xml:space="preserve">KSI-RPL</w:t>
            </w:r>
          </w:p>
        </w:tc>
        <w:tc>
          <w:tcPr/>
          <w:p>
            <w:pPr>
              <w:pStyle w:val="Compact"/>
            </w:pPr>
            <w:r>
              <w:t xml:space="preserve">slot-07 high</w:t>
            </w:r>
          </w:p>
        </w:tc>
        <w:tc>
          <w:tcPr/>
          <w:p>
            <w:pPr>
              <w:pStyle w:val="Compact"/>
            </w:pPr>
            <w:r>
              <w:t xml:space="preserve">satisfied</w:t>
            </w:r>
          </w:p>
        </w:tc>
      </w:tr>
      <w:tr>
        <w:tc>
          <w:tcPr/>
          <w:p>
            <w:pPr>
              <w:pStyle w:val="Compact"/>
            </w:pPr>
            <w:r>
              <w:t xml:space="preserve">KSI-028</w:t>
            </w:r>
          </w:p>
        </w:tc>
        <w:tc>
          <w:tcPr/>
          <w:p>
            <w:pPr>
              <w:pStyle w:val="Compact"/>
            </w:pPr>
            <w:r>
              <w:t xml:space="preserve">KSI-RPL</w:t>
            </w:r>
          </w:p>
        </w:tc>
        <w:tc>
          <w:tcPr/>
          <w:p>
            <w:pPr>
              <w:pStyle w:val="Compact"/>
            </w:pPr>
            <w:r>
              <w:t xml:space="preserve">slot-07 high</w:t>
            </w:r>
          </w:p>
        </w:tc>
        <w:tc>
          <w:tcPr/>
          <w:p>
            <w:pPr>
              <w:pStyle w:val="Compact"/>
            </w:pPr>
            <w:r>
              <w:t xml:space="preserve">satisfied</w:t>
            </w:r>
          </w:p>
        </w:tc>
      </w:tr>
      <w:tr>
        <w:tc>
          <w:tcPr/>
          <w:p>
            <w:pPr>
              <w:pStyle w:val="Compact"/>
            </w:pPr>
            <w:r>
              <w:t xml:space="preserve">KSI-029</w:t>
            </w:r>
          </w:p>
        </w:tc>
        <w:tc>
          <w:tcPr/>
          <w:p>
            <w:pPr>
              <w:pStyle w:val="Compact"/>
            </w:pPr>
            <w:r>
              <w:t xml:space="preserve">KSI-RPL</w:t>
            </w:r>
          </w:p>
        </w:tc>
        <w:tc>
          <w:tcPr/>
          <w:p>
            <w:pPr>
              <w:pStyle w:val="Compact"/>
            </w:pPr>
            <w:r>
              <w:t xml:space="preserve">slot-07 high</w:t>
            </w:r>
          </w:p>
        </w:tc>
        <w:tc>
          <w:tcPr/>
          <w:p>
            <w:pPr>
              <w:pStyle w:val="Compact"/>
            </w:pPr>
            <w:r>
              <w:t xml:space="preserve">satisfied</w:t>
            </w:r>
          </w:p>
        </w:tc>
      </w:tr>
    </w:tbl>
    <w:p>
      <w:r>
        <w:pict>
          <v:rect style="width:0;height:1.5pt" o:hralign="center" o:hrstd="t" o:hr="t"/>
        </w:pict>
      </w:r>
    </w:p>
    <w:p>
      <w:pPr>
        <w:pStyle w:val="FirstParagraph"/>
      </w:pPr>
      <w:r>
        <w:rPr>
          <w:i/>
          <w:iCs/>
        </w:rPr>
        <w:t xml:space="preserve">This document is an internal working artifact. It does not constitute an</w:t>
      </w:r>
      <w:r>
        <w:rPr>
          <w:i/>
          <w:iCs/>
        </w:rPr>
        <w:t xml:space="preserve"> </w:t>
      </w:r>
      <w:r>
        <w:rPr>
          <w:i/>
          <w:iCs/>
        </w:rPr>
        <w:t xml:space="preserve">authorization package or official assessment. All control closure claims are</w:t>
      </w:r>
      <w:r>
        <w:rPr>
          <w:i/>
          <w:iCs/>
        </w:rPr>
        <w:t xml:space="preserve"> </w:t>
      </w:r>
      <w:r>
        <w:rPr>
          <w:i/>
          <w:iCs/>
        </w:rPr>
        <w:t xml:space="preserve">advisory pending formal ATO review by the Agency Authorizing Official and the</w:t>
      </w:r>
      <w:r>
        <w:rPr>
          <w:i/>
          <w:iCs/>
        </w:rPr>
        <w:t xml:space="preserve"> </w:t>
      </w:r>
      <w:r>
        <w:rPr>
          <w:i/>
          <w:iCs/>
        </w:rPr>
        <w:t xml:space="preserve">Office of Information Security — Agency is a consuming agency, so nothing here is</w:t>
      </w:r>
      <w:r>
        <w:rPr>
          <w:i/>
          <w:iCs/>
        </w:rPr>
        <w:t xml:space="preserve"> </w:t>
      </w:r>
      <w:r>
        <w:rPr>
          <w:i/>
          <w:iCs/>
        </w:rPr>
        <w:t xml:space="preserve">submitted to the FedRAMP PMO.</w:t>
      </w:r>
    </w:p>
    <w:bookmarkEnd w:id="5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
    <w:nsid w:val="0000A992"/>
    <w:multiLevelType w:val="multilevel"/>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
  </w:num>
  <w:num w:numId="1006">
    <w:abstractNumId w:val="992"/>
  </w:num>
  <w:num w:numId="1007">
    <w:abstractNumId w:val="992"/>
  </w:num>
  <w:num w:numId="1008">
    <w:abstractNumId w:val="992"/>
  </w:num>
  <w:num w:numId="1009">
    <w:abstractNumId w:val="992"/>
  </w:num>
  <w:num w:numId="1010">
    <w:abstractNumId w:val="992"/>
  </w:num>
  <w:num w:numId="1011">
    <w:abstractNumId w:val="992"/>
  </w:num>
  <w:num w:numId="1012">
    <w:abstractNumId w:val="992"/>
  </w:num>
  <w:num w:numId="1013">
    <w:abstractNumId w:val="992"/>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2"/>
  </w:num>
  <w:num w:numId="1018">
    <w:abstractNumId w:val="992"/>
  </w:num>
  <w:num w:numId="1019">
    <w:abstractNumId w:val="992"/>
  </w:num>
  <w:num w:numId="1020">
    <w:abstractNumId w:val="992"/>
  </w:num>
  <w:num w:numId="1021">
    <w:abstractNumId w:val="992"/>
  </w:num>
  <w:num w:numId="1022">
    <w:abstractNumId w:val="992"/>
  </w:num>
  <w:num w:numId="1023">
    <w:abstractNumId w:val="992"/>
  </w:num>
  <w:num w:numId="1024">
    <w:abstractNumId w:val="992"/>
  </w:num>
  <w:num w:numId="1025">
    <w:abstractNumId w:val="992"/>
  </w:num>
  <w:num w:numId="1026">
    <w:abstractNumId w:val="992"/>
  </w:num>
  <w:num w:numId="1027">
    <w:abstractNumId w:val="992"/>
  </w:num>
  <w:num w:numId="1028">
    <w:abstractNumId w:val="992"/>
  </w:num>
  <w:num w:numId="1029">
    <w:abstractNumId w:val="992"/>
  </w:num>
  <w:num w:numId="1030">
    <w:abstractNumId w:val="992"/>
  </w:num>
  <w:num w:numId="1031">
    <w:abstractNumId w:val="992"/>
  </w:num>
  <w:num w:numId="1032">
    <w:abstractNumId w:val="992"/>
  </w:num>
  <w:num w:numId="1033">
    <w:abstractNumId w:val="992"/>
  </w:num>
  <w:num w:numId="1034">
    <w:abstractNumId w:val="992"/>
  </w:num>
  <w:num w:numId="1035">
    <w:abstractNumId w:val="992"/>
  </w:num>
  <w:num w:numId="1036">
    <w:abstractNumId w:val="992"/>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 IV Book 06 — Federal Compliance — Authorization Package &amp; ConMon</dc:title>
  <dc:creator>Federal Cloud Services</dc:creator>
  <cp:keywords/>
  <dcterms:created xsi:type="dcterms:W3CDTF">2026-10-19T10:10:01Z</dcterms:created>
  <dcterms:modified xsi:type="dcterms:W3CDTF">2026-10-19T10:10:01Z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ency">
    <vt:lpwstr/>
  </property>
  <property fmtid="{D5CDD505-2E9C-101B-9397-08002B2CF9AE}" pid="3" name="aliases">
    <vt:lpwstr/>
  </property>
  <property fmtid="{D5CDD505-2E9C-101B-9397-08002B2CF9AE}" pid="4" name="authors">
    <vt:lpwstr/>
  </property>
  <property fmtid="{D5CDD505-2E9C-101B-9397-08002B2CF9AE}" pid="5" name="biblio-config">
    <vt:lpwstr>True</vt:lpwstr>
  </property>
  <property fmtid="{D5CDD505-2E9C-101B-9397-08002B2CF9AE}" pid="6" name="by-author">
    <vt:lpwstr/>
  </property>
  <property fmtid="{D5CDD505-2E9C-101B-9397-08002B2CF9AE}" pid="7" name="classification">
    <vt:lpwstr>INTERNAL — NOT FOR PUBLIC DISTRIBUTION</vt:lpwstr>
  </property>
  <property fmtid="{D5CDD505-2E9C-101B-9397-08002B2CF9AE}" pid="8" name="date">
    <vt:lpwstr>2026-07-18 04:56 ET</vt:lpwstr>
  </property>
  <property fmtid="{D5CDD505-2E9C-101B-9397-08002B2CF9AE}" pid="9" name="date-format">
    <vt:lpwstr>YYYY-MM-DD HH:mm [ET]</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labels">
    <vt:lpwstr/>
  </property>
  <property fmtid="{D5CDD505-2E9C-101B-9397-08002B2CF9AE}" pid="14" name="subtitle">
    <vt:lpwstr>Agency Authorization Package (20x KSI Evidence Schema), Continuous Monitoring, and BOD 26-04 Submission</vt:lpwstr>
  </property>
  <property fmtid="{D5CDD505-2E9C-101B-9397-08002B2CF9AE}" pid="15" name="toc-title">
    <vt:lpwstr>Table of contents</vt:lpwstr>
  </property>
</Properties>
</file>