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IX Book 00 — Federal Compliance — Volume IX Overview: ServiceNow Day-2 Operations</w:t>
      </w:r>
    </w:p>
    <w:p>
      <w:pPr>
        <w:pStyle w:val="Subtitle"/>
      </w:pPr>
      <w:r>
        <w:t xml:space="preserve">Extending the coordination layer from compliance drift to the governed day-2 catalog — helpdesk, landing zone, app registrations, and telephony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2026-07-19 21:05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2026-07-19 17:05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This is the Volume IX overview of the Federal Compliance series. Volume VII established the ServiceNow</w:t>
      </w:r>
      <w:r>
        <w:t xml:space="preserve"> </w:t>
      </w:r>
      <w:r>
        <w:rPr>
          <w:b/>
          <w:bCs/>
        </w:rPr>
        <w:t xml:space="preserve">coordination layer</w:t>
      </w:r>
      <w:r>
        <w:t xml:space="preserve"> </w:t>
      </w:r>
      <w:r>
        <w:t xml:space="preserve">for control-compliance drift on M365 and Azure.</w:t>
      </w:r>
      <w:r>
        <w:t xml:space="preserve"> </w:t>
      </w:r>
      <w:r>
        <w:rPr>
          <w:b/>
          <w:bCs/>
        </w:rPr>
        <w:t xml:space="preserve">Volume IX extends that same layer to day-2 operations</w:t>
      </w:r>
      <w:r>
        <w:t xml:space="preserve"> </w:t>
      </w:r>
      <w:r>
        <w:t xml:space="preserve">— the governed catalog for the common Entra / M365 / Azure helpdesk tasks, the landing-zone front door, app-registration governance, and Teams telephony. Where Vol VII asks</w:t>
      </w:r>
      <w:r>
        <w:t xml:space="preserve"> </w:t>
      </w:r>
      <w:r>
        <w:rPr>
          <w:i/>
          <w:iCs/>
        </w:rPr>
        <w:t xml:space="preserve">“is this control drifting?”</w:t>
      </w:r>
      <w:r>
        <w:t xml:space="preserve">, Volume IX asks</w:t>
      </w:r>
      <w:r>
        <w:t xml:space="preserve"> </w:t>
      </w:r>
      <w:r>
        <w:rPr>
          <w:i/>
          <w:iCs/>
        </w:rPr>
        <w:t xml:space="preserve">“is this operator request governed, least-privilege, and evidenced?”</w:t>
      </w:r>
      <w:r>
        <w:t xml:space="preserve"> </w:t>
      </w:r>
      <w:r>
        <w:t xml:space="preserve">— the same coordination discipline, applied to the work a service desk does every day.</w:t>
      </w:r>
    </w:p>
    <w:bookmarkStart w:id="10" w:name="X55751723290fe2b65c53fd8abf8793ca4a9b895"/>
    <w:p>
      <w:pPr>
        <w:pStyle w:val="Heading2"/>
      </w:pPr>
      <w:r>
        <w:t xml:space="preserve">0.2 Scope — FedRAMP Moderate &amp; Microsoft GCC Moderate</w:t>
      </w:r>
    </w:p>
    <w:p>
      <w:pPr>
        <w:pStyle w:val="FirstParagraph"/>
      </w:pPr>
      <w:r>
        <w:t xml:space="preserve">This volume targets</w:t>
      </w:r>
      <w:r>
        <w:t xml:space="preserve"> </w:t>
      </w:r>
      <w:r>
        <w:rPr>
          <w:b/>
          <w:bCs/>
        </w:rPr>
        <w:t xml:space="preserve">FedRAMP Moderate + Microsoft GCC Moderate</w:t>
      </w:r>
      <w:r>
        <w:t xml:space="preserve"> </w:t>
      </w:r>
      <w:r>
        <w:t xml:space="preserve">exclusively (M365 GCC + Moderate-targeted Azure). Actuation is via</w:t>
      </w:r>
      <w:r>
        <w:t xml:space="preserve"> </w:t>
      </w:r>
      <w:r>
        <w:rPr>
          <w:b/>
          <w:bCs/>
        </w:rPr>
        <w:t xml:space="preserve">Microsoft Graph through the in-boundary MID Server</w:t>
      </w:r>
      <w:r>
        <w:t xml:space="preserve">; other CSPs and higher boundaries are deferred, consistent with the rest of the current program.</w:t>
      </w:r>
    </w:p>
    <w:p>
      <w:pPr>
        <w:pStyle w:val="BodyText"/>
      </w:pPr>
      <w:r>
        <w:t xml:space="preserve">Volume IX runs on the same ServiceNow Government Cloud coordination hub as Volume VII, which holds</w:t>
      </w:r>
      <w:r>
        <w:t xml:space="preserve"> </w:t>
      </w:r>
      <w:r>
        <w:rPr>
          <w:b/>
          <w:bCs/>
        </w:rPr>
        <w:t xml:space="preserve">FedRAMP High</w:t>
      </w:r>
      <w:r>
        <w:t xml:space="preserve"> </w:t>
      </w:r>
      <w:r>
        <w:t xml:space="preserve">authorization. The High-on-Moderate boundary treatment — why a High-authorized hub coordinating a Moderate boundary is a conservative, documented posture — is stated once in</w:t>
      </w:r>
      <w:r>
        <w:t xml:space="preserve"> </w:t>
      </w:r>
      <w:r>
        <w:rPr>
          <w:b/>
          <w:bCs/>
        </w:rPr>
        <w:t xml:space="preserve">Vol VII Book 00 §</w:t>
      </w:r>
      <w:r>
        <w:rPr>
          <w:b/>
          <w:bCs/>
        </w:rPr>
        <w:t xml:space="preserve">“Authorization Boundary Treatment — ServiceNow High-on-Moderate”</w:t>
      </w:r>
      <w:r>
        <w:t xml:space="preserve"> </w:t>
      </w:r>
      <w:r>
        <w:t xml:space="preserve">and inherited here without restatement. The platform-optionality position — ServiceNow is the</w:t>
      </w:r>
      <w:r>
        <w:t xml:space="preserve"> </w:t>
      </w:r>
      <w:r>
        <w:rPr>
          <w:b/>
          <w:bCs/>
        </w:rPr>
        <w:t xml:space="preserve">recommended, not mandatory</w:t>
      </w:r>
      <w:r>
        <w:t xml:space="preserve"> </w:t>
      </w:r>
      <w:r>
        <w:t xml:space="preserve">coordination platform; the requirement is the coordination contract, and named alternatives (authorized workflow/CMDB platform, or a composed Azure DevOps/GitHub + Logic Apps + Sentinel pipeline) satisfy it — is likewise stated once in</w:t>
      </w:r>
      <w:r>
        <w:t xml:space="preserve"> </w:t>
      </w:r>
      <w:r>
        <w:rPr>
          <w:b/>
          <w:bCs/>
        </w:rPr>
        <w:t xml:space="preserve">Vol VII Book 00 §</w:t>
      </w:r>
      <w:r>
        <w:rPr>
          <w:b/>
          <w:bCs/>
        </w:rPr>
        <w:t xml:space="preserve">“ServiceNow is the recommended coordination platform — not a mandatory one”</w:t>
      </w:r>
      <w:r>
        <w:t xml:space="preserve"> </w:t>
      </w:r>
      <w:r>
        <w:t xml:space="preserve">and inherited here.</w:t>
      </w:r>
    </w:p>
    <w:bookmarkEnd w:id="10"/>
    <w:bookmarkStart w:id="11" w:name="what-this-volume-addresses"/>
    <w:p>
      <w:pPr>
        <w:pStyle w:val="Heading1"/>
      </w:pPr>
      <w:r>
        <w:t xml:space="preserve">1. What This Volume Addresses</w:t>
      </w:r>
    </w:p>
    <w:p>
      <w:pPr>
        <w:pStyle w:val="FirstParagraph"/>
      </w:pPr>
      <w:r>
        <w:t xml:space="preserve">Volume VII established the pattern for operating</w:t>
      </w:r>
      <w:r>
        <w:t xml:space="preserve"> </w:t>
      </w:r>
      <w:r>
        <w:rPr>
          <w:i/>
          <w:iCs/>
        </w:rPr>
        <w:t xml:space="preserve">compliance drift</w:t>
      </w:r>
      <w:r>
        <w:t xml:space="preserve"> </w:t>
      </w:r>
      <w:r>
        <w:t xml:space="preserve">as owned, evidenced work. But the highest-volume work a federal cloud team does is not drift remediation — it is</w:t>
      </w:r>
      <w:r>
        <w:t xml:space="preserve"> </w:t>
      </w:r>
      <w:r>
        <w:rPr>
          <w:b/>
          <w:bCs/>
        </w:rPr>
        <w:t xml:space="preserve">day-2 operations</w:t>
      </w:r>
      <w:r>
        <w:t xml:space="preserve">: onboarding a user, resetting an authenticator, granting a group, standing up a subscription, registering an app, assigning a phone number. Done as portal clicks, each of these is an ungoverned, unevidenced change to an identity-attributed or configuration-controlled surface — exactly the gap an assessor probes.</w:t>
      </w:r>
    </w:p>
    <w:p>
      <w:pPr>
        <w:pStyle w:val="BodyText"/>
      </w:pPr>
      <w:r>
        <w:t xml:space="preserve">This volume applies the Vol VII discipline to that work:</w:t>
      </w:r>
      <w:r>
        <w:t xml:space="preserve"> </w:t>
      </w:r>
      <w:r>
        <w:rPr>
          <w:b/>
          <w:bCs/>
        </w:rPr>
        <w:t xml:space="preserve">every operator request is a typed, control-mapped catalog item; the approval gate is the one the control requires; actuation is Graph through the in-boundary MID (never standing tenant admin); and every action is an audited change record reconciled to the CM-8 join key.</w:t>
      </w:r>
      <w:r>
        <w:t xml:space="preserve"> </w:t>
      </w:r>
      <w:r>
        <w:t xml:space="preserve">The result is that routine operations</w:t>
      </w:r>
      <w:r>
        <w:t xml:space="preserve"> </w:t>
      </w:r>
      <w:r>
        <w:rPr>
          <w:i/>
          <w:iCs/>
        </w:rPr>
        <w:t xml:space="preserve">produce</w:t>
      </w:r>
      <w:r>
        <w:t xml:space="preserve"> </w:t>
      </w:r>
      <w:r>
        <w:t xml:space="preserve">compliance evidence instead of eroding it.</w:t>
      </w:r>
    </w:p>
    <w:bookmarkEnd w:id="11"/>
    <w:bookmarkStart w:id="12" w:name="the-day-2-discipline"/>
    <w:p>
      <w:pPr>
        <w:pStyle w:val="Heading1"/>
      </w:pPr>
      <w:r>
        <w:t xml:space="preserve">2. The Day-2 Discipline</w:t>
      </w:r>
    </w:p>
    <w:p>
      <w:pPr>
        <w:pStyle w:val="FirstParagraph"/>
      </w:pPr>
      <w:r>
        <w:t xml:space="preserve">Four rules govern every catalog item in this volume — the same coordination contract as Vol VII, expressed for request-driven work: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Typed, control-mapped request.</w:t>
      </w:r>
      <w:r>
        <w:t xml:space="preserve"> </w:t>
      </w:r>
      <w:r>
        <w:t xml:space="preserve">No day-2 action is a free-text ticket or a portal click; it is a catalog item bound in the compliance spine to the NIST control it satisfies (see each book’s Authorities table).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approval gate the control requires.</w:t>
      </w:r>
      <w:r>
        <w:t xml:space="preserve"> </w:t>
      </w:r>
      <w:r>
        <w:t xml:space="preserve">A password reset is identity-verified; a Conditional-Access exception needs a security approver; a privileged group is time-bound and reviewed. The gate is a property of the control, not a workflow convenience.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Graph via the in-boundary MID; never standing admin.</w:t>
      </w:r>
      <w:r>
        <w:t xml:space="preserve"> </w:t>
      </w:r>
      <w:r>
        <w:t xml:space="preserve">The connector holds scoped, logged, individually-approved write — never blanket tenant administration over the estate it serves (AC-6).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Audited and reconciled.</w:t>
      </w:r>
      <w:r>
        <w:t xml:space="preserve"> </w:t>
      </w:r>
      <w:r>
        <w:t xml:space="preserve">Every action emits a change/approval record (CM-3 / AU-2) reconciled to the IPAM/DDI-keyed CMDB (CM-8), feeding Vol VII Book 04 attestation.</w:t>
      </w:r>
    </w:p>
    <w:bookmarkEnd w:id="12"/>
    <w:bookmarkStart w:id="13" w:name="books-in-this-volume"/>
    <w:p>
      <w:pPr>
        <w:pStyle w:val="Heading1"/>
      </w:pPr>
      <w:r>
        <w:t xml:space="preserve">3. Books in This Volume</w:t>
      </w:r>
    </w:p>
    <w:p>
      <w:pPr>
        <w:pStyle w:val="TableCaption"/>
      </w:pPr>
      <w:r>
        <w:t xml:space="preserve">Volume IX — ServiceNow Day-2 Operations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Volume IX — ServiceNow Day-2 Operations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  <w:tc>
          <w:tcPr/>
          <w:p>
            <w:pPr>
              <w:pStyle w:val="Compact"/>
            </w:pPr>
            <w:r>
              <w:t xml:space="preserve">Roadmap lane / issue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IX Book 00</w:t>
            </w:r>
          </w:p>
        </w:tc>
        <w:tc>
          <w:tcPr/>
          <w:p>
            <w:pPr>
              <w:pStyle w:val="Compact"/>
            </w:pPr>
            <w:r>
              <w:t xml:space="preserve">Volume Overview (this book)</w:t>
            </w:r>
          </w:p>
        </w:tc>
        <w:tc>
          <w:tcPr/>
          <w:p>
            <w:pPr>
              <w:pStyle w:val="Compact"/>
            </w:pPr>
            <w:r>
              <w:t xml:space="preserve">The day-2 coordination discipline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IX Book 01</w:t>
            </w:r>
          </w:p>
        </w:tc>
        <w:tc>
          <w:tcPr/>
          <w:p>
            <w:pPr>
              <w:pStyle w:val="Compact"/>
            </w:pPr>
            <w:r>
              <w:t xml:space="preserve">Helpdesk &amp; ITSM Catalog</w:t>
            </w:r>
          </w:p>
        </w:tc>
        <w:tc>
          <w:tcPr/>
          <w:p>
            <w:pPr>
              <w:pStyle w:val="Compact"/>
            </w:pPr>
            <w:r>
              <w:t xml:space="preserve">JML, password/MFA reset, unlock, group/license, guest invite</w:t>
            </w:r>
          </w:p>
        </w:tc>
        <w:tc>
          <w:tcPr/>
          <w:p>
            <w:pPr>
              <w:pStyle w:val="Compact"/>
            </w:pPr>
            <w:r>
              <w:t xml:space="preserve">Lane C · #1139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IX Book 02</w:t>
            </w:r>
          </w:p>
        </w:tc>
        <w:tc>
          <w:tcPr/>
          <w:p>
            <w:pPr>
              <w:pStyle w:val="Compact"/>
            </w:pPr>
            <w:r>
              <w:t xml:space="preserve">Landing Zone Front Door</w:t>
            </w:r>
          </w:p>
        </w:tc>
        <w:tc>
          <w:tcPr/>
          <w:p>
            <w:pPr>
              <w:pStyle w:val="Compact"/>
            </w:pPr>
            <w:r>
              <w:t xml:space="preserve">Catalog request → change-controlled IaC → CMDB reconcile</w:t>
            </w:r>
          </w:p>
        </w:tc>
        <w:tc>
          <w:tcPr/>
          <w:p>
            <w:pPr>
              <w:pStyle w:val="Compact"/>
            </w:pPr>
            <w:r>
              <w:t xml:space="preserve">Lane 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IX Book 03</w:t>
            </w:r>
          </w:p>
        </w:tc>
        <w:tc>
          <w:tcPr/>
          <w:p>
            <w:pPr>
              <w:pStyle w:val="Compact"/>
            </w:pPr>
            <w:r>
              <w:t xml:space="preserve">App Registration Governance</w:t>
            </w:r>
          </w:p>
        </w:tc>
        <w:tc>
          <w:tcPr/>
          <w:p>
            <w:pPr>
              <w:pStyle w:val="Compact"/>
            </w:pPr>
            <w:r>
              <w:t xml:space="preserve">Request → scoped consent → secret/cert lifecycle → attestation</w:t>
            </w:r>
          </w:p>
        </w:tc>
        <w:tc>
          <w:tcPr/>
          <w:p>
            <w:pPr>
              <w:pStyle w:val="Compact"/>
            </w:pPr>
            <w:r>
              <w:t xml:space="preserve">Lane E · #1140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IX Book 04</w:t>
            </w:r>
          </w:p>
        </w:tc>
        <w:tc>
          <w:tcPr/>
          <w:p>
            <w:pPr>
              <w:pStyle w:val="Compact"/>
            </w:pPr>
            <w:r>
              <w:t xml:space="preserve">Teams Telephony Catalog</w:t>
            </w:r>
          </w:p>
        </w:tc>
        <w:tc>
          <w:tcPr/>
          <w:p>
            <w:pPr>
              <w:pStyle w:val="Compact"/>
            </w:pPr>
            <w:r>
              <w:t xml:space="preserve">Number/calling-policy/E911 catalog + Teams SCuBA drift</w:t>
            </w:r>
          </w:p>
        </w:tc>
        <w:tc>
          <w:tcPr/>
          <w:p>
            <w:pPr>
              <w:pStyle w:val="Compact"/>
            </w:pPr>
            <w:r>
              <w:t xml:space="preserve">§4 · #1141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IX Book 05</w:t>
            </w:r>
          </w:p>
        </w:tc>
        <w:tc>
          <w:tcPr/>
          <w:p>
            <w:pPr>
              <w:pStyle w:val="Compact"/>
            </w:pPr>
            <w:r>
              <w:t xml:space="preserve">SaaS Integration Governance</w:t>
            </w:r>
          </w:p>
        </w:tc>
        <w:tc>
          <w:tcPr/>
          <w:p>
            <w:pPr>
              <w:pStyle w:val="Compact"/>
            </w:pPr>
            <w:r>
              <w:t xml:space="preserve">The Entra app gallery as a governed SA-9 event — SaaS provisioning gated on a recorded FedRAMP authorization (Lane F)</w:t>
            </w:r>
          </w:p>
        </w:tc>
        <w:tc>
          <w:tcPr/>
          <w:p>
            <w:pPr>
              <w:pStyle w:val="Compact"/>
            </w:pPr>
            <w:r>
              <w:t xml:space="preserve">Lane 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IX Book 06</w:t>
            </w:r>
          </w:p>
        </w:tc>
        <w:tc>
          <w:tcPr/>
          <w:p>
            <w:pPr>
              <w:pStyle w:val="Compact"/>
            </w:pPr>
            <w:r>
              <w:t xml:space="preserve">Identity &amp; Access Governance</w:t>
            </w:r>
          </w:p>
        </w:tc>
        <w:tc>
          <w:tcPr/>
          <w:p>
            <w:pPr>
              <w:pStyle w:val="Compact"/>
            </w:pPr>
            <w:r>
              <w:t xml:space="preserve">Event-driven JML from the HRIT SSOT, access-certification campaigns, and the IAM evidence feed (Kit Expansion Phase 2 — gated on requirements v1.0)</w:t>
            </w:r>
          </w:p>
        </w:tc>
        <w:tc>
          <w:tcPr/>
          <w:p>
            <w:pPr>
              <w:pStyle w:val="Compact"/>
            </w:pPr>
            <w:r>
              <w:t xml:space="preserve">Phase 2 · #1221</w:t>
            </w:r>
          </w:p>
        </w:tc>
      </w:tr>
    </w:tbl>
    <w:bookmarkEnd w:id="13"/>
    <w:bookmarkStart w:id="15" w:name="X9b76bf7812ac7eacc4e91078b40cecc3562f703"/>
    <w:p>
      <w:pPr>
        <w:pStyle w:val="Heading1"/>
      </w:pPr>
      <w:r>
        <w:t xml:space="preserve">4. Closure Necessity — Operations That Evidence Themselves</w:t>
      </w:r>
    </w:p>
    <w:bookmarkStart w:id="14" w:name="X9e09ba38af5ded104d4b304f915e6d205cb3faf"/>
    <w:p>
      <w:pPr>
        <w:pStyle w:val="Heading2"/>
      </w:pPr>
      <w:r>
        <w:t xml:space="preserve">4.1 Closure Necessity — an ungoverned routine action is a standing finding</w:t>
      </w:r>
    </w:p>
    <w:p>
      <w:pPr>
        <w:pStyle w:val="FirstParagraph"/>
      </w:pPr>
      <w:r>
        <w:t xml:space="preserve">Volume IX does not re-close the identity and configuration mechanisms Volumes I, VI, and VII establish. Its necessity is operational:</w:t>
      </w:r>
      <w:r>
        <w:t xml:space="preserve"> </w:t>
      </w:r>
      <w:r>
        <w:rPr>
          <w:b/>
          <w:bCs/>
        </w:rPr>
        <w:t xml:space="preserve">the highest-frequency changes to the estate are day-2 requests, and if they are not governed, approved, least-privilege, and evidenced, they are the largest continuous source of control erosion an assessor will find.</w:t>
      </w:r>
      <w:r>
        <w:t xml:space="preserve"> </w:t>
      </w:r>
      <w:r>
        <w:t xml:space="preserve">AC-2 is not satisfied by a JML someone does by hand; IA-5 is not satisfied by a help-desk password reset with no identity proofing; AC-6 is not satisfied by a standing-admin group grant. This volume makes routine operations</w:t>
      </w:r>
      <w:r>
        <w:t xml:space="preserve"> </w:t>
      </w:r>
      <w:r>
        <w:rPr>
          <w:i/>
          <w:iCs/>
        </w:rPr>
        <w:t xml:space="preserve">produce</w:t>
      </w:r>
      <w:r>
        <w:t xml:space="preserve"> </w:t>
      </w:r>
      <w:r>
        <w:t xml:space="preserve">the evidence the authorization package needs.</w:t>
      </w:r>
    </w:p>
    <w:bookmarkEnd w:id="14"/>
    <w:bookmarkEnd w:id="15"/>
    <w:bookmarkStart w:id="16" w:name="how-this-volume-fits-the-program"/>
    <w:p>
      <w:pPr>
        <w:pStyle w:val="Heading1"/>
      </w:pPr>
      <w:r>
        <w:t xml:space="preserve">5. How This Volume Fits the Program</w:t>
      </w:r>
    </w:p>
    <w:p>
      <w:pPr>
        <w:pStyle w:val="FirstParagraph"/>
      </w:pPr>
      <w:r>
        <w:t xml:space="preserve">Volume IX</w:t>
      </w:r>
      <w:r>
        <w:t xml:space="preserve"> </w:t>
      </w:r>
      <w:r>
        <w:rPr>
          <w:b/>
          <w:bCs/>
        </w:rPr>
        <w:t xml:space="preserve">depends on</w:t>
      </w:r>
      <w:r>
        <w:t xml:space="preserve"> </w:t>
      </w:r>
      <w:r>
        <w:t xml:space="preserve">Volume I’s naming plane (the CM-8 join key), Volume VII’s coordination pattern and scoped-app discipline, and Volume VI’s landing-zone and identity-as-code artifacts (the IaC the landing-zone front door drives). It</w:t>
      </w:r>
      <w:r>
        <w:t xml:space="preserve"> </w:t>
      </w:r>
      <w:r>
        <w:rPr>
          <w:b/>
          <w:bCs/>
        </w:rPr>
        <w:t xml:space="preserve">produces</w:t>
      </w:r>
      <w:r>
        <w:t xml:space="preserve"> </w:t>
      </w:r>
      <w:r>
        <w:t xml:space="preserve">the audited, control-mapped operational record that Vol VII Book 04 lifts into attestation and the FedRAMP 20x KSI feed. Truth is separated from enforcement throughout: IPAM/DDI and HRIT remain the truth planes; the day-2 catalog is a coordination/enforcement plane on top of them.</w:t>
      </w:r>
    </w:p>
    <w:bookmarkEnd w:id="16"/>
    <w:bookmarkStart w:id="18" w:name="cross-references"/>
    <w:p>
      <w:pPr>
        <w:pStyle w:val="Heading1"/>
      </w:pPr>
      <w:r>
        <w:t xml:space="preserve">6. Cross-References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VerbatimChar"/>
            <w:b/>
            <w:bCs/>
          </w:rPr>
          <w:t xml:space="preserve">ticket-to-machine-not-ticket-to-human</w:t>
        </w:r>
        <w:r>
          <w:rPr>
            <w:rStyle w:val="Hyperlink"/>
            <w:b/>
            <w:bCs/>
          </w:rPr>
          <w:t xml:space="preserve"> </w:t>
        </w:r>
        <w:r>
          <w:rPr>
            <w:rStyle w:val="Hyperlink"/>
            <w:b/>
            <w:bCs/>
          </w:rPr>
          <w:t xml:space="preserve">whitepaper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§5.1</w:t>
      </w:r>
      <w:r>
        <w:t xml:space="preserve"> </w:t>
      </w:r>
      <w:r>
        <w:t xml:space="preserve">— cites this volume’s</w:t>
      </w:r>
      <w:r>
        <w:t xml:space="preserve"> </w:t>
      </w:r>
      <w:r>
        <w:rPr>
          <w:rStyle w:val="VerbatimChar"/>
        </w:rPr>
        <w:t xml:space="preserve">MacdrOrchestrator.js</w:t>
      </w:r>
      <w:r>
        <w:t xml:space="preserve"> </w:t>
      </w:r>
      <w:r>
        <w:t xml:space="preserve">as a working, tested reference implementation of the paper’s Closure Necessity loop, applied to identity lifecycle (AC-2/AC-3/AC-6) rather than configuration drift.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Vol VII (all books)</w:t>
      </w:r>
      <w:r>
        <w:t xml:space="preserve"> </w:t>
      </w:r>
      <w:r>
        <w:t xml:space="preserve">— the compliance-coordination layer this volume extends to day-2 work.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Vol I Book 04 (HRIT Identity SSOT)</w:t>
      </w:r>
      <w:r>
        <w:t xml:space="preserve"> </w:t>
      </w:r>
      <w:r>
        <w:t xml:space="preserve">— the identity source of truth the JML catalog provisions from.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Vol VI Book 01/02 (Landing Zone / Identity as Code)</w:t>
      </w:r>
      <w:r>
        <w:t xml:space="preserve"> </w:t>
      </w:r>
      <w:r>
        <w:t xml:space="preserve">— the IaC the landing-zone front door drives.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Vol I Book 06 (Federal Telecommunications Modernization)</w:t>
      </w:r>
      <w:r>
        <w:t xml:space="preserve"> </w:t>
      </w:r>
      <w:r>
        <w:t xml:space="preserve">— the telephony architecture Book 04 puts a catalog on.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servicenow-day2/helpdesk-control-map.json</w:t>
      </w:r>
      <w:r>
        <w:t xml:space="preserve"> </w:t>
      </w:r>
      <w:r>
        <w:t xml:space="preserve">— the machine-readable catalog → control binding.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federal-compliance-compliance-spine.yml</w:t>
      </w:r>
      <w:r>
        <w:t xml:space="preserve"> </w:t>
      </w:r>
      <w:r>
        <w:t xml:space="preserve">— the SSOT registering this volume (</w:t>
      </w:r>
      <w:r>
        <w:rPr>
          <w:rStyle w:val="VerbatimChar"/>
        </w:rPr>
        <w:t xml:space="preserve">vol-9</w:t>
      </w:r>
      <w:r>
        <w:t xml:space="preserve">) and its closures.</w:t>
      </w:r>
    </w:p>
    <w:bookmarkEnd w:id="18"/>
    <w:bookmarkStart w:id="19" w:name="provenance"/>
    <w:p>
      <w:pPr>
        <w:pStyle w:val="Heading1"/>
      </w:pPr>
      <w:r>
        <w:t xml:space="preserve">7. Provenance</w:t>
      </w:r>
    </w:p>
    <w:p>
      <w:pPr>
        <w:pStyle w:val="FirstParagraph"/>
      </w:pPr>
      <w:r>
        <w:t xml:space="preserve">This overview establishes the day-2 operations layer of the series, extending Volume VII’s coordination doctrine. Functions and planes are named, not organizations; ServiceNow is the deployed coordination example; the substitution path is preserved where a workflow platform is interchangeable. Every book carries a Date Code. The volume map above is authored as committed house-style SVG, rendered to PNG at 3× for crisp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zoom; further per-book figures follow in the figure pass.</w:t>
      </w:r>
    </w:p>
    <w:bookmarkEnd w:id="19"/>
    <w:bookmarkStart w:id="21" w:name="X8370e8c548a65b81ec17d9ad6cc210ed489b073"/>
    <w:p>
      <w:pPr>
        <w:pStyle w:val="Heading1"/>
      </w:pPr>
      <w:r>
        <w:t xml:space="preserve">8. Where This Volume’s Evidence Lands — Volume X (Optional)</w:t>
      </w:r>
    </w:p>
    <w:p>
      <w:pPr>
        <w:pStyle w:val="FirstParagraph"/>
      </w:pPr>
      <w:r>
        <w:t xml:space="preserve">Where the closures and evidence this volume produces bind to the governance</w:t>
      </w:r>
      <w:r>
        <w:t xml:space="preserve"> </w:t>
      </w:r>
      <w:r>
        <w:t xml:space="preserve">substrate — the conformance layer, the surface slots, and the evidence</w:t>
      </w:r>
      <w:r>
        <w:t xml:space="preserve"> </w:t>
      </w:r>
      <w:r>
        <w:t xml:space="preserve">contract — is documented once, for the whole series, in</w:t>
      </w:r>
      <w:r>
        <w:t xml:space="preserve"> </w:t>
      </w:r>
      <w:hyperlink r:id="rId20">
        <w:r>
          <w:rPr>
            <w:rStyle w:val="Hyperlink"/>
            <w:b/>
            <w:bCs/>
          </w:rPr>
          <w:t xml:space="preserve">Vol X Book 00 — Governance-Substrate Integration</w:t>
        </w:r>
      </w:hyperlink>
      <w:r>
        <w:t xml:space="preserve">.</w:t>
      </w:r>
      <w:r>
        <w:t xml:space="preserve"> </w:t>
      </w:r>
      <w:r>
        <w:t xml:space="preserve">The binding is</w:t>
      </w:r>
      <w:r>
        <w:t xml:space="preserve"> </w:t>
      </w:r>
      <w:r>
        <w:rPr>
          <w:b/>
          <w:bCs/>
        </w:rPr>
        <w:t xml:space="preserve">optional and separable</w:t>
      </w:r>
      <w:r>
        <w:t xml:space="preserve">: this volume, and the series it</w:t>
      </w:r>
      <w:r>
        <w:t xml:space="preserve"> </w:t>
      </w:r>
      <w:r>
        <w:t xml:space="preserve">belongs to, stands complete at FedRAMP Moderate with no substrate engagement</w:t>
      </w:r>
      <w:r>
        <w:t xml:space="preserve"> </w:t>
      </w:r>
      <w:r>
        <w:t xml:space="preserve">at all; adopting the substrate adds machine-checked scoring and drift-gating</w:t>
      </w:r>
      <w:r>
        <w:t xml:space="preserve"> </w:t>
      </w:r>
      <w:r>
        <w:t xml:space="preserve">on top of what is already closed, and can be adopted later — or never —</w:t>
      </w:r>
      <w:r>
        <w:t xml:space="preserve"> </w:t>
      </w:r>
      <w:r>
        <w:t xml:space="preserve">without rework.</w:t>
      </w:r>
    </w:p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../whitepapers/ticket-to-machine-not-ticket-to-human.md" TargetMode="External" /><Relationship Type="http://schemas.openxmlformats.org/officeDocument/2006/relationships/hyperlink" Id="rId20" Target="Vol_X_Book_00_Governance_Substrate_Integration_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../whitepapers/ticket-to-machine-not-ticket-to-human.md" TargetMode="External" /><Relationship Type="http://schemas.openxmlformats.org/officeDocument/2006/relationships/hyperlink" Id="rId20" Target="Vol_X_Book_00_Governance_Substrate_Integration_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IX Book 00 — Federal Compliance — Volume IX Overview: ServiceNow Day-2 Operations</dc:title>
  <dc:creator>Federal Cloud Services</dc:creator>
  <cp:keywords/>
  <dcterms:created xsi:type="dcterms:W3CDTF">2026-10-19T10:10:02Z</dcterms:created>
  <dcterms:modified xsi:type="dcterms:W3CDTF">2026-10-19T10:10:02Z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2026-07-19 21:05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Extending the coordination layer from compliance drift to the governed day-2 catalog — helpdesk, landing zone, app registrations, and telephony</vt:lpwstr>
  </property>
  <property fmtid="{D5CDD505-2E9C-101B-9397-08002B2CF9AE}" pid="16" name="toc-title">
    <vt:lpwstr>Table of contents</vt:lpwstr>
  </property>
</Properties>
</file>