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Vol IX Book 01 — Federal Compliance — Helpdesk &amp; ITSM Catalog</w:t>
      </w:r>
    </w:p>
    <w:p>
      <w:pPr>
        <w:pStyle w:val="Subtitle"/>
      </w:pPr>
      <w:r>
        <w:t xml:space="preserve">The common Entra · M365 · Azure operator tasks as governed, control-mapped ServiceNow catalog items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2026-07-21 18:46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; not yet reviewed or approved by the Agency CIO Office, OIS, or leadership.</w:t>
      </w:r>
      <w:r>
        <w:t xml:space="preserve"> </w:t>
      </w:r>
      <w:r>
        <w:rPr>
          <w:b/>
          <w:bCs/>
        </w:rPr>
        <w:t xml:space="preserve">Date Code:</w:t>
      </w:r>
      <w:r>
        <w:t xml:space="preserve"> </w:t>
      </w:r>
      <w:r>
        <w:t xml:space="preserve">2026-07-21 14:46 ET</w:t>
      </w:r>
    </w:p>
    <w:bookmarkEnd w:id="9"/>
    <w:p>
      <w:pPr>
        <w:pStyle w:val="BodyText"/>
      </w:pPr>
      <w:r>
        <w:rPr>
          <w:b/>
          <w:bCs/>
        </w:rPr>
        <w:t xml:space="preserve">Series Context</w:t>
      </w:r>
      <w:r>
        <w:t xml:space="preserve"> </w:t>
      </w:r>
      <w:r>
        <w:t xml:space="preserve">— Volume IX Book 01. The highest-volume day-2 surface: the everyday Entra / M365 / Azure help-desk requests — joiner/mover/leaver, credential resets, group and license grants, guest invites. This book turns each into a typed, control-mapped ServiceNow catalog item actuated through the in-boundary MID, so routine operations produce compliance evidence instead of eroding it.</w:t>
      </w:r>
    </w:p>
    <w:bookmarkStart w:id="10" w:name="what-this-document-addresses"/>
    <w:p>
      <w:pPr>
        <w:pStyle w:val="Heading1"/>
      </w:pPr>
      <w:r>
        <w:t xml:space="preserve">1. What This Document Addresses</w:t>
      </w:r>
    </w:p>
    <w:p>
      <w:pPr>
        <w:pStyle w:val="FirstParagraph"/>
      </w:pPr>
      <w:r>
        <w:t xml:space="preserve">A service desk performs hundreds of identity changes a week. Each one — a new account, a password reset, a group add — is a change to an identity-attributed surface that a control governs (AC-2, IA-5, AC-6). Performed as a portal click by a standing-admin operator, it is ungoverned, unevidenced, and least-privilege only by hope. Multiplied across a week, that is the largest continuous source of control erosion in the estate.</w:t>
      </w:r>
    </w:p>
    <w:p>
      <w:pPr>
        <w:pStyle w:val="BodyText"/>
      </w:pPr>
      <w:r>
        <w:t xml:space="preserve">This book expresses those requests as governed catalog items. The machine-readable binding lives in</w:t>
      </w:r>
      <w:r>
        <w:t xml:space="preserve"> </w:t>
      </w:r>
      <w:r>
        <w:rPr>
          <w:rStyle w:val="VerbatimChar"/>
          <w:b/>
          <w:bCs/>
        </w:rPr>
        <w:t xml:space="preserve">servicenow-day2/helpdesk-control-map.json</w:t>
      </w:r>
      <w:r>
        <w:t xml:space="preserve"> </w:t>
      </w:r>
      <w:r>
        <w:t xml:space="preserve">— each item mapped to its control, approval gate, KSI, and evidence slot, a projection of the compliance spine and CI-checked against it.</w:t>
      </w:r>
    </w:p>
    <w:bookmarkEnd w:id="10"/>
    <w:bookmarkStart w:id="11" w:name="the-catalog"/>
    <w:p>
      <w:pPr>
        <w:pStyle w:val="Heading1"/>
      </w:pPr>
      <w:r>
        <w:t xml:space="preserve">2. The Catalog</w:t>
      </w:r>
    </w:p>
    <w:p>
      <w:pPr>
        <w:pStyle w:val="FirstParagraph"/>
      </w:pPr>
      <w:r>
        <w:t xml:space="preserve">Ten items across three families. Each is a request, not a click; each carries the approval gate its control requires.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Catalog item</w:t>
            </w:r>
          </w:p>
        </w:tc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Approval gate</w:t>
            </w:r>
          </w:p>
        </w:tc>
        <w:tc>
          <w:tcPr/>
          <w:p>
            <w:pPr>
              <w:pStyle w:val="Compac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New account (Joiner)</w:t>
            </w:r>
          </w:p>
        </w:tc>
        <w:tc>
          <w:tcPr/>
          <w:p>
            <w:pPr>
              <w:pStyle w:val="Compact"/>
            </w:pPr>
            <w:r>
              <w:t xml:space="preserve">AC-2</w:t>
            </w:r>
          </w:p>
        </w:tc>
        <w:tc>
          <w:tcPr/>
          <w:p>
            <w:pPr>
              <w:pStyle w:val="Compact"/>
            </w:pPr>
            <w:r>
              <w:t xml:space="preserve">manager + identity</w:t>
            </w:r>
          </w:p>
        </w:tc>
        <w:tc>
          <w:tcPr/>
          <w:p>
            <w:pPr>
              <w:pStyle w:val="Compact"/>
            </w:pPr>
            <w:r>
              <w:t xml:space="preserve">Provision from the HRIT SSOT (Vol I Book 04); least-privilege baseline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Role/scope change (Mover)</w:t>
            </w:r>
          </w:p>
        </w:tc>
        <w:tc>
          <w:tcPr/>
          <w:p>
            <w:pPr>
              <w:pStyle w:val="Compact"/>
            </w:pPr>
            <w:r>
              <w:t xml:space="preserve">AC-6</w:t>
            </w:r>
          </w:p>
        </w:tc>
        <w:tc>
          <w:tcPr/>
          <w:p>
            <w:pPr>
              <w:pStyle w:val="Compact"/>
            </w:pPr>
            <w:r>
              <w:t xml:space="preserve">manager + identity</w:t>
            </w:r>
          </w:p>
        </w:tc>
        <w:tc>
          <w:tcPr/>
          <w:p>
            <w:pPr>
              <w:pStyle w:val="Compact"/>
            </w:pPr>
            <w:r>
              <w:t xml:space="preserve">Access review on change; remove stale entitlements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De-provision (Leaver)</w:t>
            </w:r>
          </w:p>
        </w:tc>
        <w:tc>
          <w:tcPr/>
          <w:p>
            <w:pPr>
              <w:pStyle w:val="Compact"/>
            </w:pPr>
            <w:r>
              <w:t xml:space="preserve">AC-2</w:t>
            </w:r>
          </w:p>
        </w:tc>
        <w:tc>
          <w:tcPr/>
          <w:p>
            <w:pPr>
              <w:pStyle w:val="Compact"/>
            </w:pPr>
            <w:r>
              <w:t xml:space="preserve">manager + identity</w:t>
            </w:r>
          </w:p>
        </w:tc>
        <w:tc>
          <w:tcPr/>
          <w:p>
            <w:pPr>
              <w:pStyle w:val="Compact"/>
            </w:pPr>
            <w:r>
              <w:t xml:space="preserve">Evidenced: disable, revoke sessions, reassign owned objects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Password reset</w:t>
            </w:r>
          </w:p>
        </w:tc>
        <w:tc>
          <w:tcPr/>
          <w:p>
            <w:pPr>
              <w:pStyle w:val="Compact"/>
            </w:pPr>
            <w:r>
              <w:t xml:space="preserve">IA-5</w:t>
            </w:r>
          </w:p>
        </w:tc>
        <w:tc>
          <w:tcPr/>
          <w:p>
            <w:pPr>
              <w:pStyle w:val="Compact"/>
            </w:pPr>
            <w:r>
              <w:t xml:space="preserve">self-service / service-desk</w:t>
            </w:r>
          </w:p>
        </w:tc>
        <w:tc>
          <w:tcPr/>
          <w:p>
            <w:pPr>
              <w:pStyle w:val="Compact"/>
            </w:pPr>
            <w:r>
              <w:t xml:space="preserve">SSPR where policy allows; else identity-verified 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MFA-method reset</w:t>
            </w:r>
          </w:p>
        </w:tc>
        <w:tc>
          <w:tcPr/>
          <w:p>
            <w:pPr>
              <w:pStyle w:val="Compact"/>
            </w:pPr>
            <w:r>
              <w:t xml:space="preserve">IA-5</w:t>
            </w:r>
          </w:p>
        </w:tc>
        <w:tc>
          <w:tcPr/>
          <w:p>
            <w:pPr>
              <w:pStyle w:val="Compact"/>
            </w:pPr>
            <w:r>
              <w:t xml:space="preserve">service-desk + verify</w:t>
            </w:r>
          </w:p>
        </w:tc>
        <w:tc>
          <w:tcPr/>
          <w:p>
            <w:pPr>
              <w:pStyle w:val="Compact"/>
            </w:pPr>
            <w:r>
              <w:t xml:space="preserve">Identity-proofing required; log + alert (social-engineering target)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Account unlock</w:t>
            </w:r>
          </w:p>
        </w:tc>
        <w:tc>
          <w:tcPr/>
          <w:p>
            <w:pPr>
              <w:pStyle w:val="Compact"/>
            </w:pPr>
            <w:r>
              <w:t xml:space="preserve">IA-5</w:t>
            </w:r>
          </w:p>
        </w:tc>
        <w:tc>
          <w:tcPr/>
          <w:p>
            <w:pPr>
              <w:pStyle w:val="Compact"/>
            </w:pPr>
            <w:r>
              <w:t xml:space="preserve">self-service / service-desk</w:t>
            </w:r>
          </w:p>
        </w:tc>
        <w:tc>
          <w:tcPr/>
          <w:p>
            <w:pPr>
              <w:pStyle w:val="Compact"/>
            </w:pPr>
            <w:r>
              <w:t xml:space="preserve">Repeated unlocks are a Vol VI Book 03 detection signal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Group membership</w:t>
            </w:r>
          </w:p>
        </w:tc>
        <w:tc>
          <w:tcPr/>
          <w:p>
            <w:pPr>
              <w:pStyle w:val="Compact"/>
            </w:pPr>
            <w:r>
              <w:t xml:space="preserve">AC-6</w:t>
            </w:r>
          </w:p>
        </w:tc>
        <w:tc>
          <w:tcPr/>
          <w:p>
            <w:pPr>
              <w:pStyle w:val="Compact"/>
            </w:pPr>
            <w:r>
              <w:t xml:space="preserve">owner + approver</w:t>
            </w:r>
          </w:p>
        </w:tc>
        <w:tc>
          <w:tcPr/>
          <w:p>
            <w:pPr>
              <w:pStyle w:val="Compact"/>
            </w:pPr>
            <w:r>
              <w:t xml:space="preserve">Time-bound where elevated; access-review linked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License assignment</w:t>
            </w:r>
          </w:p>
        </w:tc>
        <w:tc>
          <w:tcPr/>
          <w:p>
            <w:pPr>
              <w:pStyle w:val="Compact"/>
            </w:pPr>
            <w:r>
              <w:t xml:space="preserve">AC-2</w:t>
            </w:r>
          </w:p>
        </w:tc>
        <w:tc>
          <w:tcPr/>
          <w:p>
            <w:pPr>
              <w:pStyle w:val="Compact"/>
            </w:pPr>
            <w:r>
              <w:t xml:space="preserve">manager</w:t>
            </w:r>
          </w:p>
        </w:tc>
        <w:tc>
          <w:tcPr/>
          <w:p>
            <w:pPr>
              <w:pStyle w:val="Compact"/>
            </w:pPr>
            <w:r>
              <w:t xml:space="preserve">Group-based licensing preferred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Conditional-Access exception</w:t>
            </w:r>
          </w:p>
        </w:tc>
        <w:tc>
          <w:tcPr/>
          <w:p>
            <w:pPr>
              <w:pStyle w:val="Compact"/>
            </w:pPr>
            <w:r>
              <w:t xml:space="preserve">AC-3</w:t>
            </w:r>
          </w:p>
        </w:tc>
        <w:tc>
          <w:tcPr/>
          <w:p>
            <w:pPr>
              <w:pStyle w:val="Compact"/>
            </w:pPr>
            <w:r>
              <w:t xml:space="preserve">security approver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Reuse Vol VII Book 02</w:t>
            </w:r>
            <w:r>
              <w:t xml:space="preserve"> </w:t>
            </w:r>
            <w:r>
              <w:t xml:space="preserve">— mandatory expiry + review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Guest / B2B invite</w:t>
            </w:r>
          </w:p>
        </w:tc>
        <w:tc>
          <w:tcPr/>
          <w:p>
            <w:pPr>
              <w:pStyle w:val="Compact"/>
            </w:pPr>
            <w:r>
              <w:t xml:space="preserve">AC-2</w:t>
            </w:r>
          </w:p>
        </w:tc>
        <w:tc>
          <w:tcPr/>
          <w:p>
            <w:pPr>
              <w:pStyle w:val="Compact"/>
            </w:pPr>
            <w:r>
              <w:t xml:space="preserve">sponsor + security</w:t>
            </w:r>
          </w:p>
        </w:tc>
        <w:tc>
          <w:tcPr/>
          <w:p>
            <w:pPr>
              <w:pStyle w:val="Compact"/>
            </w:pPr>
            <w:r>
              <w:t xml:space="preserve">Sponsor + expiry</w:t>
            </w:r>
          </w:p>
        </w:tc>
      </w:tr>
    </w:tbl>
    <w:p>
      <w:pPr>
        <w:pStyle w:val="BodyText"/>
      </w:pPr>
      <w:r>
        <w:rPr>
          <w:b/>
          <w:bCs/>
        </w:rPr>
        <w:t xml:space="preserve">Reuse, don’t reinvent.</w:t>
      </w:r>
      <w:r>
        <w:t xml:space="preserve"> </w:t>
      </w:r>
      <w:r>
        <w:t xml:space="preserve">The Conditional-Access exception item is the same pattern Vol VII Book 02 already models (mandatory break-glass exclusion, expiry, access review). The help-desk catalog</w:t>
      </w:r>
      <w:r>
        <w:t xml:space="preserve"> </w:t>
      </w:r>
      <w:r>
        <w:rPr>
          <w:i/>
          <w:iCs/>
        </w:rPr>
        <w:t xml:space="preserve">invokes</w:t>
      </w:r>
      <w:r>
        <w:t xml:space="preserve"> </w:t>
      </w:r>
      <w:r>
        <w:t xml:space="preserve">it; it does not fork a second CA-exception path.</w:t>
      </w:r>
    </w:p>
    <w:bookmarkEnd w:id="11"/>
    <w:bookmarkStart w:id="12" w:name="the-request-loop"/>
    <w:p>
      <w:pPr>
        <w:pStyle w:val="Heading1"/>
      </w:pPr>
      <w:r>
        <w:t xml:space="preserve">3. The Request Loop</w:t>
      </w:r>
    </w:p>
    <w:p>
      <w:pPr>
        <w:pStyle w:val="FirstParagraph"/>
      </w:pPr>
      <w:r>
        <w:t xml:space="preserve">Every item runs the same governed loop — the day-2 analogue of the Vol VII compliance loop: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Request</w:t>
      </w:r>
      <w:r>
        <w:t xml:space="preserve"> </w:t>
      </w:r>
      <w:r>
        <w:t xml:space="preserve">— a typed catalog item against the reconciled identity CI, with the requester, target, and justification.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Approve</w:t>
      </w:r>
      <w:r>
        <w:t xml:space="preserve"> </w:t>
      </w:r>
      <w:r>
        <w:t xml:space="preserve">— the gate the control requires (self-service, manager, identity, owner, or security approver — per the control map).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Actuate</w:t>
      </w:r>
      <w:r>
        <w:t xml:space="preserve"> </w:t>
      </w:r>
      <w:r>
        <w:t xml:space="preserve">— Microsoft Graph</w:t>
      </w:r>
      <w:r>
        <w:t xml:space="preserve"> </w:t>
      </w:r>
      <w:r>
        <w:rPr>
          <w:b/>
          <w:bCs/>
        </w:rPr>
        <w:t xml:space="preserve">through the in-boundary MID Server</w:t>
      </w:r>
      <w:r>
        <w:t xml:space="preserve">; the connector holds scoped, logged, individually-approved write —</w:t>
      </w:r>
      <w:r>
        <w:t xml:space="preserve"> </w:t>
      </w:r>
      <w:r>
        <w:rPr>
          <w:b/>
          <w:bCs/>
        </w:rPr>
        <w:t xml:space="preserve">never standing tenant admin</w:t>
      </w:r>
      <w:r>
        <w:t xml:space="preserve"> </w:t>
      </w:r>
      <w:r>
        <w:t xml:space="preserve">(AC-6).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Evidence</w:t>
      </w:r>
      <w:r>
        <w:t xml:space="preserve"> </w:t>
      </w:r>
      <w:r>
        <w:t xml:space="preserve">— the request, approval, and Graph result become a change record (CM-3 / AU-2) reconciled to the CM-8 CMDB, feeding Vol VII Book 04 attestation.</w:t>
      </w:r>
    </w:p>
    <w:p>
      <w:pPr>
        <w:pStyle w:val="FirstParagraph"/>
      </w:pPr>
      <w:r>
        <w:rPr>
          <w:b/>
          <w:bCs/>
        </w:rPr>
        <w:t xml:space="preserve">The leaver is the one that fails audits.</w:t>
      </w:r>
      <w:r>
        <w:t xml:space="preserve"> </w:t>
      </w:r>
      <w:r>
        <w:t xml:space="preserve">De-provisioning is an</w:t>
      </w:r>
      <w:r>
        <w:t xml:space="preserve"> </w:t>
      </w:r>
      <w:r>
        <w:rPr>
          <w:i/>
          <w:iCs/>
        </w:rPr>
        <w:t xml:space="preserve">evidenced obligation</w:t>
      </w:r>
      <w:r>
        <w:t xml:space="preserve">, not a courtesy: disable the account, revoke active sessions and refresh tokens, and reassign owned objects (groups, app ownerships, mailboxes). A leaver</w:t>
      </w:r>
      <w:r>
        <w:t xml:space="preserve"> </w:t>
      </w:r>
      <w:r>
        <w:t xml:space="preserve">“done”</w:t>
      </w:r>
      <w:r>
        <w:t xml:space="preserve"> </w:t>
      </w:r>
      <w:r>
        <w:t xml:space="preserve">with no evidence trail is an orphaned-credential finding waiting to happen — the exact gap the audited catalog closes.</w:t>
      </w:r>
    </w:p>
    <w:bookmarkEnd w:id="12"/>
    <w:bookmarkStart w:id="13" w:name="identity-macdr"/>
    <w:p>
      <w:pPr>
        <w:pStyle w:val="Heading1"/>
      </w:pPr>
      <w:r>
        <w:t xml:space="preserve">4. Identity MACD-R — The Five Verbs at the Help Desk</w:t>
      </w:r>
    </w:p>
    <w:p>
      <w:pPr>
        <w:pStyle w:val="FirstParagraph"/>
      </w:pPr>
      <w:r>
        <w:t xml:space="preserve">Every identity operation the catalog fulfills is one of five verbs — a</w:t>
      </w:r>
      <w:r>
        <w:t xml:space="preserve"> </w:t>
      </w:r>
      <w:r>
        <w:rPr>
          <w:b/>
          <w:bCs/>
        </w:rPr>
        <w:t xml:space="preserve">Move, Add, Change, Deletion, or Reset</w:t>
      </w:r>
      <w:r>
        <w:t xml:space="preserve"> </w:t>
      </w:r>
      <w:r>
        <w:t xml:space="preserve">— and each verb travels the full</w:t>
      </w:r>
      <w:r>
        <w:t xml:space="preserve"> </w:t>
      </w:r>
      <w:r>
        <w:t xml:space="preserve">authorized path of the series’ MACD-R Lifecycle Doctrine (Vol 0 Book 00):</w:t>
      </w:r>
      <w:r>
        <w:t xml:space="preserve"> </w:t>
      </w:r>
      <w:r>
        <w:t xml:space="preserve">SSOT-originated, authoritatively authorized, executed under a just-in-time</w:t>
      </w:r>
      <w:r>
        <w:t xml:space="preserve"> </w:t>
      </w:r>
      <w:r>
        <w:t xml:space="preserve">scoped role, closed with provenance, and emitting evidence automatically.</w:t>
      </w:r>
      <w:r>
        <w:t xml:space="preserve"> </w:t>
      </w:r>
      <w:r>
        <w:t xml:space="preserve">The verbs differ in what originates them, what the closure probe must</w:t>
      </w:r>
      <w:r>
        <w:t xml:space="preserve"> </w:t>
      </w:r>
      <w:r>
        <w:t xml:space="preserve">verify, and which controls they exercise: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Verb</w:t>
            </w:r>
          </w:p>
        </w:tc>
        <w:tc>
          <w:tcPr/>
          <w:p>
            <w:pPr>
              <w:pStyle w:val="Compact"/>
            </w:pPr>
            <w:r>
              <w:t xml:space="preserve">Identity meaning</w:t>
            </w:r>
          </w:p>
        </w:tc>
        <w:tc>
          <w:tcPr/>
          <w:p>
            <w:pPr>
              <w:pStyle w:val="Compact"/>
            </w:pPr>
            <w:r>
              <w:t xml:space="preserve">SSOT origin</w:t>
            </w:r>
          </w:p>
        </w:tc>
        <w:tc>
          <w:tcPr/>
          <w:p>
            <w:pPr>
              <w:pStyle w:val="Compact"/>
            </w:pPr>
            <w:r>
              <w:t xml:space="preserve">Closure probe verifies</w:t>
            </w:r>
          </w:p>
        </w:tc>
        <w:tc>
          <w:tcPr/>
          <w:p>
            <w:pPr>
              <w:pStyle w:val="Compact"/>
            </w:pPr>
            <w:r>
              <w:t xml:space="preserve">Controls exercised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Add</w:t>
            </w:r>
          </w:p>
        </w:tc>
        <w:tc>
          <w:tcPr/>
          <w:p>
            <w:pPr>
              <w:pStyle w:val="Compact"/>
            </w:pPr>
            <w:r>
              <w:t xml:space="preserve">Joiner: account provisioned, groups/licenses derived, MFA registered, SCIM fan-out to federated apps</w:t>
            </w:r>
          </w:p>
        </w:tc>
        <w:tc>
          <w:tcPr/>
          <w:p>
            <w:pPr>
              <w:pStyle w:val="Compact"/>
            </w:pPr>
            <w:r>
              <w:t xml:space="preserve">HR joiner event</w:t>
            </w:r>
          </w:p>
        </w:tc>
        <w:tc>
          <w:tcPr/>
          <w:p>
            <w:pPr>
              <w:pStyle w:val="Compact"/>
            </w:pPr>
            <w:r>
              <w:t xml:space="preserve">Account exists with exactly the derived entitlements; MFA method registered; every SCIM-connected app provisioned</w:t>
            </w:r>
          </w:p>
        </w:tc>
        <w:tc>
          <w:tcPr/>
          <w:p>
            <w:pPr>
              <w:pStyle w:val="Compact"/>
            </w:pPr>
            <w:r>
              <w:t xml:space="preserve">AC-2, IA-4, IA-5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Move</w:t>
            </w:r>
          </w:p>
        </w:tc>
        <w:tc>
          <w:tcPr/>
          <w:p>
            <w:pPr>
              <w:pStyle w:val="Compact"/>
            </w:pPr>
            <w:r>
              <w:t xml:space="preserve">Mover: role/unit change → attributes updated, group and license membership re-derived, app access re-evaluated</w:t>
            </w:r>
          </w:p>
        </w:tc>
        <w:tc>
          <w:tcPr/>
          <w:p>
            <w:pPr>
              <w:pStyle w:val="Compact"/>
            </w:pPr>
            <w:r>
              <w:t xml:space="preserve">HR mover event</w:t>
            </w:r>
          </w:p>
        </w:tc>
        <w:tc>
          <w:tcPr/>
          <w:p>
            <w:pPr>
              <w:pStyle w:val="Compact"/>
            </w:pPr>
            <w:r>
              <w:t xml:space="preserve">New derivation matches the SSOT record;</w:t>
            </w:r>
            <w:r>
              <w:t xml:space="preserve"> </w:t>
            </w:r>
            <w:r>
              <w:rPr>
                <w:i/>
                <w:iCs/>
              </w:rPr>
              <w:t xml:space="preserve">stale</w:t>
            </w:r>
            <w:r>
              <w:t xml:space="preserve"> </w:t>
            </w:r>
            <w:r>
              <w:t xml:space="preserve">entitlements from the old role removed</w:t>
            </w:r>
          </w:p>
        </w:tc>
        <w:tc>
          <w:tcPr/>
          <w:p>
            <w:pPr>
              <w:pStyle w:val="Compact"/>
            </w:pPr>
            <w:r>
              <w:t xml:space="preserve">AC-2, AC-6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Change</w:t>
            </w:r>
          </w:p>
        </w:tc>
        <w:tc>
          <w:tcPr/>
          <w:p>
            <w:pPr>
              <w:pStyle w:val="Compact"/>
            </w:pPr>
            <w:r>
              <w:t xml:space="preserve">Entitlement or attribute change outside a role move: access requests, group adds, delegation grants</w:t>
            </w:r>
          </w:p>
        </w:tc>
        <w:tc>
          <w:tcPr/>
          <w:p>
            <w:pPr>
              <w:pStyle w:val="Compact"/>
            </w:pPr>
            <w:r>
              <w:t xml:space="preserve">Governed request resolved against the SSOT record</w:t>
            </w:r>
          </w:p>
        </w:tc>
        <w:tc>
          <w:tcPr/>
          <w:p>
            <w:pPr>
              <w:pStyle w:val="Compact"/>
            </w:pPr>
            <w:r>
              <w:t xml:space="preserve">The granted scope equals the approved scope — nothing broader</w:t>
            </w:r>
          </w:p>
        </w:tc>
        <w:tc>
          <w:tcPr/>
          <w:p>
            <w:pPr>
              <w:pStyle w:val="Compact"/>
            </w:pPr>
            <w:r>
              <w:t xml:space="preserve">AC-2, AC-6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Deletion</w:t>
            </w:r>
          </w:p>
        </w:tc>
        <w:tc>
          <w:tcPr/>
          <w:p>
            <w:pPr>
              <w:pStyle w:val="Compact"/>
            </w:pPr>
            <w:r>
              <w:t xml:space="preserve">Leaver: disable, revoke sessions and tokens, deprovision every federated app, reassign owned objects — including the leaver’s</w:t>
            </w:r>
            <w:r>
              <w:t xml:space="preserve"> </w:t>
            </w:r>
            <w:r>
              <w:rPr>
                <w:b/>
                <w:bCs/>
              </w:rPr>
              <w:t xml:space="preserve">anchored non-human estate</w:t>
            </w:r>
            <w:r>
              <w:t xml:space="preserve"> </w:t>
            </w:r>
            <w:r>
              <w:t xml:space="preserve">(owned service accounts and app registrations transfer per the Human-Anchor Rule)</w:t>
            </w:r>
          </w:p>
        </w:tc>
        <w:tc>
          <w:tcPr/>
          <w:p>
            <w:pPr>
              <w:pStyle w:val="Compact"/>
            </w:pPr>
            <w:r>
              <w:t xml:space="preserve">HR leaver event</w:t>
            </w:r>
          </w:p>
        </w:tc>
        <w:tc>
          <w:tcPr/>
          <w:p>
            <w:pPr>
              <w:pStyle w:val="Compact"/>
            </w:pPr>
            <w:r>
              <w:t xml:space="preserve">Account unusable everywhere; zero live sessions; SCIM deprovisioned in each connected app; no orphaned objects or ownerless non-human identities</w:t>
            </w:r>
          </w:p>
        </w:tc>
        <w:tc>
          <w:tcPr/>
          <w:p>
            <w:pPr>
              <w:pStyle w:val="Compact"/>
            </w:pPr>
            <w:r>
              <w:t xml:space="preserve">AC-2, AC-2(3), IA-4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Reset</w:t>
            </w:r>
          </w:p>
        </w:tc>
        <w:tc>
          <w:tcPr/>
          <w:p>
            <w:pPr>
              <w:pStyle w:val="Compact"/>
            </w:pPr>
            <w:r>
              <w:t xml:space="preserve">Credential events: password reset, MFA method reset, session revocation</w:t>
            </w:r>
          </w:p>
        </w:tc>
        <w:tc>
          <w:tcPr/>
          <w:p>
            <w:pPr>
              <w:pStyle w:val="Compact"/>
            </w:pPr>
            <w:r>
              <w:t xml:space="preserve">Governed request against the SSOT identity</w:t>
            </w:r>
          </w:p>
        </w:tc>
        <w:tc>
          <w:tcPr/>
          <w:p>
            <w:pPr>
              <w:pStyle w:val="Compact"/>
            </w:pPr>
            <w:r>
              <w:t xml:space="preserve">Re-proofing performed to policy before issuance; new credential meets IA-5; old credential unusable</w:t>
            </w:r>
          </w:p>
        </w:tc>
        <w:tc>
          <w:tcPr/>
          <w:p>
            <w:pPr>
              <w:pStyle w:val="Compact"/>
            </w:pPr>
            <w:r>
              <w:t xml:space="preserve">IA-4, IA-5, AC-2</w:t>
            </w:r>
          </w:p>
        </w:tc>
      </w:tr>
    </w:tbl>
    <w:p>
      <w:pPr>
        <w:pStyle w:val="BodyText"/>
      </w:pPr>
      <w:r>
        <w:rPr>
          <w:b/>
          <w:bCs/>
        </w:rPr>
        <w:t xml:space="preserve">Reset is the highest-risk verb, and it is the one attackers order from</w:t>
      </w:r>
      <w:r>
        <w:rPr>
          <w:b/>
          <w:bCs/>
        </w:rPr>
        <w:t xml:space="preserve"> </w:t>
      </w:r>
      <w:r>
        <w:rPr>
          <w:b/>
          <w:bCs/>
        </w:rPr>
        <w:t xml:space="preserve">the help desk.</w:t>
      </w:r>
      <w:r>
        <w:t xml:space="preserve"> </w:t>
      </w:r>
      <w:r>
        <w:t xml:space="preserve">A password or MFA reset re-issues the keys to an</w:t>
      </w:r>
      <w:r>
        <w:t xml:space="preserve"> </w:t>
      </w:r>
      <w:r>
        <w:t xml:space="preserve">identity on the strength of a phone call — the classic help-desk</w:t>
      </w:r>
      <w:r>
        <w:t xml:space="preserve"> </w:t>
      </w:r>
      <w:r>
        <w:t xml:space="preserve">social-engineering entry. The catalog’s Reset items therefore gate on</w:t>
      </w:r>
      <w:r>
        <w:t xml:space="preserve"> </w:t>
      </w:r>
      <w:r>
        <w:rPr>
          <w:b/>
          <w:bCs/>
        </w:rPr>
        <w:t xml:space="preserve">identity re-proofing to policy</w:t>
      </w:r>
      <w:r>
        <w:t xml:space="preserve"> </w:t>
      </w:r>
      <w:r>
        <w:t xml:space="preserve">(IA-4 discipline: verified against the</w:t>
      </w:r>
      <w:r>
        <w:t xml:space="preserve"> </w:t>
      </w:r>
      <w:r>
        <w:t xml:space="preserve">SSOT record, not caller-supplied facts), execute under a scoped</w:t>
      </w:r>
      <w:r>
        <w:t xml:space="preserve"> </w:t>
      </w:r>
      <w:r>
        <w:t xml:space="preserve">just-in-time role, and close only on a probe confirming the old</w:t>
      </w:r>
      <w:r>
        <w:t xml:space="preserve"> </w:t>
      </w:r>
      <w:r>
        <w:t xml:space="preserve">credential is dead and the new one meets policy. A Reset closed manually,</w:t>
      </w:r>
      <w:r>
        <w:t xml:space="preserve"> </w:t>
      </w:r>
      <w:r>
        <w:t xml:space="preserve">with no re-proofing payload, is precisely the closure the Closure</w:t>
      </w:r>
      <w:r>
        <w:t xml:space="preserve"> </w:t>
      </w:r>
      <w:r>
        <w:t xml:space="preserve">Provenance Doctrine refuses to count.</w:t>
      </w:r>
    </w:p>
    <w:p>
      <w:pPr>
        <w:pStyle w:val="BodyText"/>
      </w:pPr>
      <w:r>
        <w:t xml:space="preserve">The matrix is the doctrine made operational: the five verbs are the same</w:t>
      </w:r>
      <w:r>
        <w:t xml:space="preserve"> </w:t>
      </w:r>
      <w:r>
        <w:t xml:space="preserve">five the SSOT Registry (Vol 0 Book 00) governs for every object class —</w:t>
      </w:r>
      <w:r>
        <w:t xml:space="preserve"> </w:t>
      </w:r>
      <w:r>
        <w:t xml:space="preserve">what changes at the help desk is only the class (human identities here,</w:t>
      </w:r>
      <w:r>
        <w:t xml:space="preserve"> </w:t>
      </w:r>
      <w:r>
        <w:t xml:space="preserve">their anchored non-human estate on the Deletion row) and the probes.</w:t>
      </w:r>
    </w:p>
    <w:bookmarkEnd w:id="13"/>
    <w:bookmarkStart w:id="15" w:name="closure-necessity"/>
    <w:p>
      <w:pPr>
        <w:pStyle w:val="Heading1"/>
      </w:pPr>
      <w:r>
        <w:t xml:space="preserve">5. Closure Necessity</w:t>
      </w:r>
    </w:p>
    <w:bookmarkStart w:id="14" w:name="Xd54c9857bf12b5efb6f1d9bb5e76f2f229cccf1"/>
    <w:p>
      <w:pPr>
        <w:pStyle w:val="Heading2"/>
      </w:pPr>
      <w:r>
        <w:t xml:space="preserve">5.1 Closure Necessity — the help desk is a control surface, not a convenience</w:t>
      </w:r>
    </w:p>
    <w:p>
      <w:pPr>
        <w:pStyle w:val="FirstParagraph"/>
      </w:pPr>
      <w:r>
        <w:t xml:space="preserve">Volumes I and VII establish that verified identity, phishing-resistant auth, and least privilege are the mechanisms. This book makes the</w:t>
      </w:r>
      <w:r>
        <w:t xml:space="preserve"> </w:t>
      </w:r>
      <w:r>
        <w:rPr>
          <w:i/>
          <w:iCs/>
        </w:rPr>
        <w:t xml:space="preserve">routine exercise</w:t>
      </w:r>
      <w:r>
        <w:t xml:space="preserve"> </w:t>
      </w:r>
      <w:r>
        <w:t xml:space="preserve">of those mechanisms governed and evidenced. Without it, AC-2, IA-5, and AC-6 are eroded a hundred small clicks at a time — each unlogged, each least-privilege by hope. The catalog does not add a new control; it stops the highest-frequency operations from quietly dismantling the ones already claimed.</w:t>
      </w:r>
    </w:p>
    <w:bookmarkEnd w:id="14"/>
    <w:bookmarkEnd w:id="15"/>
    <w:bookmarkStart w:id="16" w:name="Xebd9fbc0874ac437cee95afe649484f9b290fc1"/>
    <w:p>
      <w:pPr>
        <w:pStyle w:val="Heading1"/>
      </w:pPr>
      <w:r>
        <w:t xml:space="preserve">6. NIST SP 800-53 Rev 5 Control Closure — Authorities Closed Here</w:t>
      </w:r>
    </w:p>
    <w:p>
      <w:pPr>
        <w:pStyle w:val="FirstParagraph"/>
      </w:pPr>
      <w:r>
        <w:t xml:space="preserve">Generated from the compliance spine (</w:t>
      </w:r>
      <w:r>
        <w:rPr>
          <w:rStyle w:val="VerbatimChar"/>
        </w:rPr>
        <w:t xml:space="preserve">federal-compliance-compliance-spine.yml</w:t>
      </w:r>
      <w:r>
        <w:t xml:space="preserve">) by</w:t>
      </w:r>
      <w:r>
        <w:t xml:space="preserve"> </w:t>
      </w:r>
      <w:r>
        <w:rPr>
          <w:rStyle w:val="VerbatimChar"/>
        </w:rPr>
        <w:t xml:space="preserve">render_authorities_table.py</w:t>
      </w:r>
      <w:r>
        <w:t xml:space="preserve">; not hand-edited here.</w:t>
      </w:r>
    </w:p>
    <w:p>
      <w:pPr>
        <w:pStyle w:val="TableCaption"/>
      </w:pPr>
      <w:r>
        <w:t xml:space="preserve">Authorities Closed Here â€” Helpdesk &amp; ITSM Catalog (Entra Â· M365 Â· Azure) (â€  = Closure-Necessity anchor: no alternate closure path)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  <w:tblCaption w:val="Authorities Closed Here â€” Helpdesk &amp; ITSM Catalog (Entra Â· M365 Â· Azure) (â€  = Closure-Necessity anchor: no alternate closure path)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Title</w:t>
            </w:r>
          </w:p>
        </w:tc>
        <w:tc>
          <w:tcPr/>
          <w:p>
            <w:pPr>
              <w:pStyle w:val="Compact"/>
            </w:pPr>
            <w:r>
              <w:t xml:space="preserve">Closing mechanism (function, not product)</w:t>
            </w:r>
          </w:p>
        </w:tc>
        <w:tc>
          <w:tcPr/>
          <w:p>
            <w:pPr>
              <w:pStyle w:val="Compact"/>
            </w:pPr>
            <w:r>
              <w:t xml:space="preserve">Accreditation gate</w:t>
            </w:r>
          </w:p>
        </w:tc>
        <w:tc>
          <w:tcPr/>
          <w:p>
            <w:pPr>
              <w:pStyle w:val="Compact"/>
            </w:pPr>
            <w:r>
              <w:t xml:space="preserve">Authority drivers</w:t>
            </w:r>
          </w:p>
        </w:tc>
        <w:tc>
          <w:tcPr/>
          <w:p>
            <w:pPr>
              <w:pStyle w:val="Compact"/>
            </w:pPr>
            <w:r>
              <w:t xml:space="preserve">Evidence slot</w:t>
            </w:r>
          </w:p>
        </w:tc>
        <w:tc>
          <w:tcPr/>
          <w:p>
            <w:pPr>
              <w:pStyle w:val="Compact"/>
            </w:pPr>
            <w:r>
              <w:t xml:space="preserve">FedRAMP 20x KSI</w:t>
            </w:r>
          </w:p>
        </w:tc>
        <w:tc>
          <w:tcPr/>
          <w:p>
            <w:pPr>
              <w:pStyle w:val="Compact"/>
            </w:pPr>
            <w:r>
              <w:t xml:space="preserve">Tool-attestable?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AC-2</w:t>
            </w:r>
          </w:p>
        </w:tc>
        <w:tc>
          <w:tcPr/>
          <w:p>
            <w:pPr>
              <w:pStyle w:val="Compact"/>
            </w:pPr>
            <w:r>
              <w:t xml:space="preserve">Account Management</w:t>
            </w:r>
          </w:p>
        </w:tc>
        <w:tc>
          <w:tcPr/>
          <w:p>
            <w:pPr>
              <w:pStyle w:val="Compact"/>
            </w:pPr>
            <w:r>
              <w:t xml:space="preserve">Joiner/mover/leaver, guest invite, and license/group requests as governed ServiceNow catalog items over Entra (Graph via in-boundary MID); leaver de-provisioning evidenced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M-22-09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AC-3</w:t>
            </w:r>
          </w:p>
        </w:tc>
        <w:tc>
          <w:tcPr/>
          <w:p>
            <w:pPr>
              <w:pStyle w:val="Compact"/>
            </w:pPr>
            <w:r>
              <w:t xml:space="preserve">Access Enforcement</w:t>
            </w:r>
          </w:p>
        </w:tc>
        <w:tc>
          <w:tcPr/>
          <w:p>
            <w:pPr>
              <w:pStyle w:val="Compact"/>
            </w:pPr>
            <w:r>
              <w:t xml:space="preserve">Conditional Access exceptions issued only as governed catalog items with a mandatory expiry and a scheduled access review â€” an exception weakens a blocking enforcement control and is treated as such, never granted standing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M-22-09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AC-6</w:t>
            </w:r>
          </w:p>
        </w:tc>
        <w:tc>
          <w:tcPr/>
          <w:p>
            <w:pPr>
              <w:pStyle w:val="Compact"/>
            </w:pPr>
            <w:r>
              <w:t xml:space="preserve">Least Privilege</w:t>
            </w:r>
          </w:p>
        </w:tc>
        <w:tc>
          <w:tcPr/>
          <w:p>
            <w:pPr>
              <w:pStyle w:val="Compact"/>
            </w:pPr>
            <w:r>
              <w:t xml:space="preserve">Group and privileged-access requests time-bound and access-reviewed; no standing elevation granted by a helpdesk click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5; OMB M-22-09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IA-5</w:t>
            </w:r>
          </w:p>
        </w:tc>
        <w:tc>
          <w:tcPr/>
          <w:p>
            <w:pPr>
              <w:pStyle w:val="Compact"/>
            </w:pPr>
            <w:r>
              <w:t xml:space="preserve">Authenticator Management</w:t>
            </w:r>
          </w:p>
        </w:tc>
        <w:tc>
          <w:tcPr/>
          <w:p>
            <w:pPr>
              <w:pStyle w:val="Compact"/>
            </w:pPr>
            <w:r>
              <w:t xml:space="preserve">Password reset, MFA-method reset, and account unlock as identity-verified catalog items (self-service via SSPR where policy allows; else approver-gated)</w:t>
            </w:r>
          </w:p>
        </w:tc>
        <w:tc>
          <w:tcPr/>
          <w:p>
            <w:pPr>
              <w:pStyle w:val="Compact"/>
            </w:pPr>
            <w:r>
              <w:t xml:space="preserve">FedRAMP Moderate</w:t>
            </w:r>
          </w:p>
        </w:tc>
        <w:tc>
          <w:tcPr/>
          <w:p>
            <w:pPr>
              <w:pStyle w:val="Compact"/>
            </w:pPr>
            <w:r>
              <w:t xml:space="preserve">NIST SP 800-53 Rev 5</w:t>
            </w:r>
          </w:p>
        </w:tc>
        <w:tc>
          <w:tcPr/>
          <w:p>
            <w:pPr>
              <w:pStyle w:val="Compact"/>
            </w:pPr>
            <w:r>
              <w:t xml:space="preserve">Identity</w:t>
            </w:r>
          </w:p>
        </w:tc>
        <w:tc>
          <w:tcPr/>
          <w:p>
            <w:pPr>
              <w:pStyle w:val="Compact"/>
            </w:pPr>
            <w:r>
              <w:t xml:space="preserve">KSI-IAM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bookmarkEnd w:id="16"/>
    <w:bookmarkStart w:id="17" w:name="honest-limits"/>
    <w:p>
      <w:pPr>
        <w:pStyle w:val="Heading1"/>
      </w:pPr>
      <w:r>
        <w:t xml:space="preserve">7. Honest Limits</w:t>
      </w:r>
    </w:p>
    <w:p>
      <w:pPr>
        <w:pStyle w:val="Compact"/>
        <w:numPr>
          <w:ilvl w:val="0"/>
          <w:numId w:val="1002"/>
        </w:numPr>
      </w:pPr>
      <w:r>
        <w:t xml:space="preserve">Self-service items (SSPR, unlock) are only as strong as the tenant’s authentication-method policy; a weak SSPR policy is a Vol VI Book 02 configuration concern, not a catalog fix.</w:t>
      </w:r>
    </w:p>
    <w:p>
      <w:pPr>
        <w:pStyle w:val="Compact"/>
        <w:numPr>
          <w:ilvl w:val="0"/>
          <w:numId w:val="1002"/>
        </w:numPr>
      </w:pPr>
      <w:r>
        <w:t xml:space="preserve">The catalog governs the</w:t>
      </w:r>
      <w:r>
        <w:t xml:space="preserve"> </w:t>
      </w:r>
      <w:r>
        <w:rPr>
          <w:i/>
          <w:iCs/>
        </w:rPr>
        <w:t xml:space="preserve">request</w:t>
      </w:r>
      <w:r>
        <w:t xml:space="preserve">; a standing global administrator can still act out of band — Vol VII Book 02 detections and access reviews catch that.</w:t>
      </w:r>
    </w:p>
    <w:p>
      <w:pPr>
        <w:pStyle w:val="Compact"/>
        <w:numPr>
          <w:ilvl w:val="0"/>
          <w:numId w:val="1002"/>
        </w:numPr>
      </w:pPr>
      <w:r>
        <w:t xml:space="preserve">Substituting the ITSM platform changes the catalog and connector syntax; the request→approve→actuate-via-MID→evidence discipline is invariant.</w:t>
      </w:r>
    </w:p>
    <w:bookmarkEnd w:id="17"/>
    <w:bookmarkStart w:id="18" w:name="cross-references"/>
    <w:p>
      <w:pPr>
        <w:pStyle w:val="Heading1"/>
      </w:pPr>
      <w:r>
        <w:t xml:space="preserve">8. Cross-References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  <w:b/>
          <w:bCs/>
        </w:rPr>
        <w:t xml:space="preserve">servicenow-day2/helpdesk-control-map.json</w:t>
      </w:r>
      <w:r>
        <w:t xml:space="preserve"> </w:t>
      </w:r>
      <w:r>
        <w:t xml:space="preserve">— the machine-readable catalog → control binding this book documents.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I Book 04 (HRIT Identity SSOT)</w:t>
      </w:r>
      <w:r>
        <w:t xml:space="preserve"> </w:t>
      </w:r>
      <w:r>
        <w:t xml:space="preserve">— the identity source of truth the JML items provision from.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VII Book 02</w:t>
      </w:r>
      <w:r>
        <w:t xml:space="preserve"> </w:t>
      </w:r>
      <w:r>
        <w:t xml:space="preserve">— the Conditional-Access exception pattern this catalog reuses;</w:t>
      </w:r>
      <w:r>
        <w:t xml:space="preserve"> </w:t>
      </w:r>
      <w:r>
        <w:rPr>
          <w:b/>
          <w:bCs/>
        </w:rPr>
        <w:t xml:space="preserve">Vol VII Book 04</w:t>
      </w:r>
      <w:r>
        <w:t xml:space="preserve"> </w:t>
      </w:r>
      <w:r>
        <w:t xml:space="preserve">— where the audited actions become attestation.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Vol IX Book 03</w:t>
      </w:r>
      <w:r>
        <w:t xml:space="preserve"> </w:t>
      </w:r>
      <w:r>
        <w:t xml:space="preserve">— app-registration governance (service-principal identity lifecycle, the machine analogue of JML).</w:t>
      </w:r>
    </w:p>
    <w:bookmarkEnd w:id="18"/>
    <w:bookmarkStart w:id="19" w:name="provenance"/>
    <w:p>
      <w:pPr>
        <w:pStyle w:val="Heading1"/>
      </w:pPr>
      <w:r>
        <w:t xml:space="preserve">9. Provenance</w:t>
      </w:r>
    </w:p>
    <w:p>
      <w:pPr>
        <w:pStyle w:val="FirstParagraph"/>
      </w:pPr>
      <w:r>
        <w:t xml:space="preserve">Draft. ServiceNow, Microsoft Graph, and Entra are deployed examples; the request→approve→actuate-native→evidence discipline is the invariant. Vendor claims cite vendor documentation. The figure above is authored as committed house-style SVG, rendered to PNG at 3× for crisp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zoom.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 IX Book 01 — Federal Compliance — Helpdesk &amp; ITSM Catalog</dc:title>
  <dc:creator>Federal Cloud Services</dc:creator>
  <cp:keywords/>
  <dcterms:created xsi:type="dcterms:W3CDTF">2026-10-19T10:10:02Z</dcterms:created>
  <dcterms:modified xsi:type="dcterms:W3CDTF">2026-10-19T10:10:02Z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2026-07-21 18:46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The common Entra · M365 · Azure operator tasks as governed, control-mapped ServiceNow catalog items</vt:lpwstr>
  </property>
  <property fmtid="{D5CDD505-2E9C-101B-9397-08002B2CF9AE}" pid="16" name="toc-title">
    <vt:lpwstr>Table of contents</vt:lpwstr>
  </property>
</Properties>
</file>