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IX Book 02 — Federal Compliance — Landing Zone Front Door</w:t>
      </w:r>
    </w:p>
    <w:p>
      <w:pPr>
        <w:pStyle w:val="Subtitle"/>
      </w:pPr>
      <w:r>
        <w:t xml:space="preserve">The catalog request that drives change-controlled landing-zone IaC and reconciles every allocation to the IPAM/DDI join key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2026-07-12 19:00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2026-07-12 15:00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IX Book 02. The infrastructure-as-code exists (Vol VI Book 01); what is missing is the</w:t>
      </w:r>
      <w:r>
        <w:t xml:space="preserve"> </w:t>
      </w:r>
      <w:r>
        <w:rPr>
          <w:i/>
          <w:iCs/>
        </w:rPr>
        <w:t xml:space="preserve">governed front door</w:t>
      </w:r>
      <w:r>
        <w:t xml:space="preserve"> </w:t>
      </w:r>
      <w:r>
        <w:t xml:space="preserve">— the catalog request that drives it. This book puts a ServiceNow catalog item on the landing-zone IaC so a subscription, virtual network, or subnet is provisioned through an approved, change-controlled pipeline and reconciled to the authoritative IPAM/DDI record at allocation time.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Landing-zone infrastructure-as-code is a solved problem in this series — Terraform and Bicep modules stand up subscriptions, networks, and subnets from reviewed source (Vol VI Book 01). But a module that anyone can</w:t>
      </w:r>
      <w:r>
        <w:t xml:space="preserve"> </w:t>
      </w:r>
      <w:r>
        <w:rPr>
          <w:rStyle w:val="VerbatimChar"/>
        </w:rPr>
        <w:t xml:space="preserve">apply</w:t>
      </w:r>
      <w:r>
        <w:t xml:space="preserve"> </w:t>
      </w:r>
      <w:r>
        <w:t xml:space="preserve">from a laptop is not change control, and an address block allocated outside the naming plane is a CM-8 gap the moment it exists. The gap is the</w:t>
      </w:r>
      <w:r>
        <w:t xml:space="preserve"> </w:t>
      </w:r>
      <w:r>
        <w:rPr>
          <w:i/>
          <w:iCs/>
        </w:rPr>
        <w:t xml:space="preserve">front door</w:t>
      </w:r>
      <w:r>
        <w:t xml:space="preserve">: the governed request that turns</w:t>
      </w:r>
      <w:r>
        <w:t xml:space="preserve"> </w:t>
      </w:r>
      <w:r>
        <w:t xml:space="preserve">“run the module”</w:t>
      </w:r>
      <w:r>
        <w:t xml:space="preserve"> </w:t>
      </w:r>
      <w:r>
        <w:t xml:space="preserve">into</w:t>
      </w:r>
      <w:r>
        <w:t xml:space="preserve"> </w:t>
      </w:r>
      <w:r>
        <w:t xml:space="preserve">“an approved, evidenced, reconciled provisioning event.”</w:t>
      </w:r>
    </w:p>
    <w:p>
      <w:pPr>
        <w:pStyle w:val="BodyText"/>
      </w:pPr>
      <w:r>
        <w:t xml:space="preserve">This book supplies that front door, reusing the exact pattern the DDI ServiceNow app specifies as a scoped-app kit (</w:t>
      </w:r>
      <w:r>
        <w:rPr>
          <w:rStyle w:val="VerbatimChar"/>
        </w:rPr>
        <w:t xml:space="preserve">infoblox-ddi-book/servicenow-app/</w:t>
      </w:r>
      <w:r>
        <w:t xml:space="preserve">):</w:t>
      </w:r>
      <w:r>
        <w:t xml:space="preserve"> </w:t>
      </w:r>
      <w:r>
        <w:rPr>
          <w:b/>
          <w:bCs/>
        </w:rPr>
        <w:t xml:space="preserve">catalog request → approval / separation-of-duties → speculative Terraform plan → apply → validation gate → CMDB reconcile → close.</w:t>
      </w:r>
    </w:p>
    <w:bookmarkEnd w:id="10"/>
    <w:bookmarkStart w:id="11" w:name="the-provisioning-loop"/>
    <w:p>
      <w:pPr>
        <w:pStyle w:val="Heading1"/>
      </w:pPr>
      <w:r>
        <w:t xml:space="preserve">2. The Provisioning Loop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Request</w:t>
            </w:r>
          </w:p>
        </w:tc>
        <w:tc>
          <w:tcPr/>
          <w:p>
            <w:pPr>
              <w:pStyle w:val="Compact"/>
            </w:pPr>
            <w:r>
              <w:t xml:space="preserve">A catalog item captures the landing-zone parameters (environment, size, address requirements) as typed variables, not free text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Approve / SoD</w:t>
            </w:r>
          </w:p>
        </w:tc>
        <w:tc>
          <w:tcPr/>
          <w:p>
            <w:pPr>
              <w:pStyle w:val="Compact"/>
            </w:pPr>
            <w:r>
              <w:t xml:space="preserve">The request routes through approval with separation of duties (requester ≠ approver)</w:t>
            </w:r>
          </w:p>
        </w:tc>
        <w:tc>
          <w:tcPr/>
          <w:p>
            <w:pPr>
              <w:pStyle w:val="Compact"/>
            </w:pPr>
            <w:r>
              <w:t xml:space="preserve">CM-3, CM-5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Plan</w:t>
            </w:r>
          </w:p>
        </w:tc>
        <w:tc>
          <w:tcPr/>
          <w:p>
            <w:pPr>
              <w:pStyle w:val="Compact"/>
            </w:pPr>
            <w:r>
              <w:t xml:space="preserve">The CPG Terraform Connector runs a</w:t>
            </w:r>
            <w:r>
              <w:t xml:space="preserve"> </w:t>
            </w:r>
            <w:r>
              <w:rPr>
                <w:b/>
                <w:bCs/>
              </w:rPr>
              <w:t xml:space="preserve">speculative plan</w:t>
            </w:r>
            <w:r>
              <w:t xml:space="preserve"> </w:t>
            </w:r>
            <w:r>
              <w:t xml:space="preserve">the approver reviews before any state changes</w:t>
            </w:r>
          </w:p>
        </w:tc>
        <w:tc>
          <w:tcPr/>
          <w:p>
            <w:pPr>
              <w:pStyle w:val="Compact"/>
            </w:pPr>
            <w:r>
              <w:t xml:space="preserve">CM-3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Apply</w:t>
            </w:r>
          </w:p>
        </w:tc>
        <w:tc>
          <w:tcPr/>
          <w:p>
            <w:pPr>
              <w:pStyle w:val="Compact"/>
            </w:pPr>
            <w:r>
              <w:t xml:space="preserve">On approval, the change-controlled pipeline applies the reviewed source idempotently — deployed state equals reviewed source</w:t>
            </w:r>
          </w:p>
        </w:tc>
        <w:tc>
          <w:tcPr/>
          <w:p>
            <w:pPr>
              <w:pStyle w:val="Compact"/>
            </w:pPr>
            <w:r>
              <w:t xml:space="preserve">CM-2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Reconcile</w:t>
            </w:r>
          </w:p>
        </w:tc>
        <w:tc>
          <w:tcPr/>
          <w:p>
            <w:pPr>
              <w:pStyle w:val="Compact"/>
            </w:pPr>
            <w:r>
              <w:t xml:space="preserve">The address/subnet allocation is written to and reconciled with the authoritative</w:t>
            </w:r>
            <w:r>
              <w:t xml:space="preserve"> </w:t>
            </w:r>
            <w:r>
              <w:rPr>
                <w:b/>
                <w:bCs/>
              </w:rPr>
              <w:t xml:space="preserve">IPAM/DDI</w:t>
            </w:r>
            <w:r>
              <w:t xml:space="preserve"> </w:t>
            </w:r>
            <w: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CM-8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 Close</w:t>
            </w:r>
          </w:p>
        </w:tc>
        <w:tc>
          <w:tcPr/>
          <w:p>
            <w:pPr>
              <w:pStyle w:val="Compact"/>
            </w:pPr>
            <w:r>
              <w:t xml:space="preserve">The validation gate confirms the landing zone matches intent; the change record and gate verdict are the evidence</w:t>
            </w:r>
          </w:p>
        </w:tc>
        <w:tc>
          <w:tcPr/>
          <w:p>
            <w:pPr>
              <w:pStyle w:val="Compact"/>
            </w:pPr>
            <w:r>
              <w:t xml:space="preserve">CM-3, AU-2</w:t>
            </w:r>
          </w:p>
        </w:tc>
      </w:tr>
    </w:tbl>
    <w:p>
      <w:pPr>
        <w:pStyle w:val="BodyText"/>
      </w:pPr>
      <w:r>
        <w:rPr>
          <w:b/>
          <w:bCs/>
        </w:rPr>
        <w:t xml:space="preserve">No landing zone stands up outside the naming plane.</w:t>
      </w:r>
      <w:r>
        <w:t xml:space="preserve"> </w:t>
      </w:r>
      <w:r>
        <w:t xml:space="preserve">Step 5 is the load-bearing one: an address block allocated by IaC but never reconciled to IPAM/DDI is shadow inventory (a CM-8 / BOD 23-01 finding) the moment it exists. The front door makes reconciliation part of provisioning, not a later clean-up.</w:t>
      </w:r>
    </w:p>
    <w:bookmarkEnd w:id="11"/>
    <w:bookmarkStart w:id="12" w:name="reuse-this-is-the-ddi-app-generalized"/>
    <w:p>
      <w:pPr>
        <w:pStyle w:val="Heading1"/>
      </w:pPr>
      <w:r>
        <w:t xml:space="preserve">3. Reuse — This Is the DDI App, Generalized</w:t>
      </w:r>
    </w:p>
    <w:p>
      <w:pPr>
        <w:pStyle w:val="FirstParagraph"/>
      </w:pPr>
      <w:r>
        <w:t xml:space="preserve">The DDI ServiceNow app (Vol VIII Book 07,</w:t>
      </w:r>
      <w:r>
        <w:t xml:space="preserve"> </w:t>
      </w:r>
      <w:r>
        <w:rPr>
          <w:rStyle w:val="VerbatimChar"/>
        </w:rPr>
        <w:t xml:space="preserve">infoblox-ddi-book/servicenow-app/</w:t>
      </w:r>
      <w:r>
        <w:t xml:space="preserve">) implements this loop as a scoped-app kit for DNS-backed subnet provisioning: a catalog item fronts a Terraform module through the CPG Connector, a MID-Server gate validates, and the Service Graph Connector reconciles to the CMDB. This book</w:t>
      </w:r>
      <w:r>
        <w:t xml:space="preserve"> </w:t>
      </w:r>
      <w:r>
        <w:rPr>
          <w:b/>
          <w:bCs/>
        </w:rPr>
        <w:t xml:space="preserve">extends the same records</w:t>
      </w:r>
      <w:r>
        <w:t xml:space="preserve"> </w:t>
      </w:r>
      <w:r>
        <w:t xml:space="preserve">to full landing-zone provisioning — same connectors, same in-boundary MID, same validation-gate discipline, broader module scope.</w:t>
      </w:r>
    </w:p>
    <w:bookmarkEnd w:id="12"/>
    <w:bookmarkStart w:id="14" w:name="closure-necessity"/>
    <w:p>
      <w:pPr>
        <w:pStyle w:val="Heading1"/>
      </w:pPr>
      <w:r>
        <w:t xml:space="preserve">4. Closure Necessity</w:t>
      </w:r>
    </w:p>
    <w:bookmarkStart w:id="13" w:name="X63719c98260ce60912ff4b0e77ea77d850cd03f"/>
    <w:p>
      <w:pPr>
        <w:pStyle w:val="Heading2"/>
      </w:pPr>
      <w:r>
        <w:t xml:space="preserve">4.1 Closure Necessity — IaC without a governed front door is not change control</w:t>
      </w:r>
    </w:p>
    <w:p>
      <w:pPr>
        <w:pStyle w:val="FirstParagraph"/>
      </w:pPr>
      <w:r>
        <w:t xml:space="preserve">Landing zones expressed as reviewable source close CM-2 and CM-3 — the change-control authorities this book anchors as a governed front door; CM-6 configuration settings close in Volume III’s systems-management books. This book makes the</w:t>
      </w:r>
      <w:r>
        <w:t xml:space="preserve"> </w:t>
      </w:r>
      <w:r>
        <w:rPr>
          <w:i/>
          <w:iCs/>
        </w:rPr>
        <w:t xml:space="preserve">invocation</w:t>
      </w:r>
      <w:r>
        <w:t xml:space="preserve"> </w:t>
      </w:r>
      <w:r>
        <w:t xml:space="preserve">of that source governed — an approved, SoD-gated, evidenced provisioning event reconciled to the naming plane. Without the front door, the same modules are a click-path with no approval trail and no guarantee the allocation reached IPAM — CM-3 becomes an assertion and CM-8 forks. The IaC is necessary; the governed front door is what makes it</w:t>
      </w:r>
      <w:r>
        <w:t xml:space="preserve"> </w:t>
      </w:r>
      <w:r>
        <w:rPr>
          <w:i/>
          <w:iCs/>
        </w:rPr>
        <w:t xml:space="preserve">assessable</w:t>
      </w:r>
      <w:r>
        <w:t xml:space="preserve">.</w:t>
      </w:r>
    </w:p>
    <w:bookmarkEnd w:id="13"/>
    <w:bookmarkEnd w:id="14"/>
    <w:bookmarkStart w:id="15" w:name="Xebd9fbc0874ac437cee95afe649484f9b290fc1"/>
    <w:p>
      <w:pPr>
        <w:pStyle w:val="Heading1"/>
      </w:pPr>
      <w:r>
        <w:t xml:space="preserve">5. NIST SP 800-53 Rev 5 Control Closure — Authorities Closed Here</w:t>
      </w:r>
    </w:p>
    <w:p>
      <w:pPr>
        <w:pStyle w:val="FirstParagraph"/>
      </w:pPr>
      <w:r>
        <w:t xml:space="preserve">Generated from the compliance spine (</w:t>
      </w:r>
      <w:r>
        <w:rPr>
          <w:rStyle w:val="VerbatimChar"/>
        </w:rPr>
        <w:t xml:space="preserve">federal-compliance-compliance-spine.yml</w:t>
      </w:r>
      <w:r>
        <w:t xml:space="preserve">); not hand-edited here.</w:t>
      </w:r>
    </w:p>
    <w:p>
      <w:pPr>
        <w:pStyle w:val="TableCaption"/>
      </w:pPr>
      <w:r>
        <w:t xml:space="preserve">Authorities Closed Here — Landing Zone Front Door (catalog → IaC → CMDB) (†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— Landing Zone Front Door (catalog → IaC → CMDB) (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CM-8</w:t>
            </w:r>
          </w:p>
        </w:tc>
        <w:tc>
          <w:tcPr/>
          <w:p>
            <w:pPr>
              <w:pStyle w:val="Compact"/>
            </w:pPr>
            <w:r>
              <w:t xml:space="preserve">System Component Inventory</w:t>
            </w:r>
          </w:p>
        </w:tc>
        <w:tc>
          <w:tcPr/>
          <w:p>
            <w:pPr>
              <w:pStyle w:val="Compact"/>
            </w:pPr>
            <w:r>
              <w:t xml:space="preserve">Subnet/address allocation reconciled to the authoritative IPAM/DDI record (CM-8) at provisioning time — no landing zone stood up outside the naming plane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CISA BOD 23-01</w:t>
            </w:r>
          </w:p>
        </w:tc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Configuration Change Control</w:t>
            </w:r>
          </w:p>
        </w:tc>
        <w:tc>
          <w:tcPr/>
          <w:p>
            <w:pPr>
              <w:pStyle w:val="Compact"/>
            </w:pPr>
            <w:r>
              <w:t xml:space="preserve">Catalog approval → speculative Terraform plan → apply → validation gate → CMDB close as the CM-3 gate for landing-zone changes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Circular A-130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CM-2</w:t>
            </w:r>
          </w:p>
        </w:tc>
        <w:tc>
          <w:tcPr/>
          <w:p>
            <w:pPr>
              <w:pStyle w:val="Compact"/>
            </w:pPr>
            <w:r>
              <w:t xml:space="preserve">Baseline Configuration</w:t>
            </w:r>
          </w:p>
        </w:tc>
        <w:tc>
          <w:tcPr/>
          <w:p>
            <w:pPr>
              <w:pStyle w:val="Compact"/>
            </w:pPr>
            <w:r>
              <w:t xml:space="preserve">Landing-zone catalog request drives the change-controlled IaC pipeline (Terraform/Bicep) — deployed state equals reviewed source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Circular A-130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5"/>
    <w:bookmarkStart w:id="16" w:name="honest-limits"/>
    <w:p>
      <w:pPr>
        <w:pStyle w:val="Heading1"/>
      </w:pPr>
      <w:r>
        <w:t xml:space="preserve">6. Honest Limits</w:t>
      </w:r>
    </w:p>
    <w:p>
      <w:pPr>
        <w:pStyle w:val="Compact"/>
        <w:numPr>
          <w:ilvl w:val="0"/>
          <w:numId w:val="1001"/>
        </w:numPr>
      </w:pPr>
      <w:r>
        <w:t xml:space="preserve">The front door governs provisioning; drift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apply is a Vol VII Book 03 (Azure Policy) concern — the two compose (provision governed, then monitor drift).</w:t>
      </w:r>
    </w:p>
    <w:p>
      <w:pPr>
        <w:pStyle w:val="Compact"/>
        <w:numPr>
          <w:ilvl w:val="0"/>
          <w:numId w:val="1001"/>
        </w:numPr>
      </w:pPr>
      <w:r>
        <w:t xml:space="preserve">The speculative plan is only as safe as the module’s blast radius; destructive changes carry a heightened approval gate.</w:t>
      </w:r>
    </w:p>
    <w:p>
      <w:pPr>
        <w:pStyle w:val="Compact"/>
        <w:numPr>
          <w:ilvl w:val="0"/>
          <w:numId w:val="1001"/>
        </w:numPr>
      </w:pPr>
      <w:r>
        <w:t xml:space="preserve">Reconciliation depends on the IPAM/DDI backend chosen in the Volume VIII / InfoBlox decision; until that lands, the reconcile step targets whatever authoritative record exists.</w:t>
      </w:r>
    </w:p>
    <w:bookmarkEnd w:id="16"/>
    <w:bookmarkStart w:id="17" w:name="cross-references"/>
    <w:p>
      <w:pPr>
        <w:pStyle w:val="Heading1"/>
      </w:pPr>
      <w:r>
        <w:t xml:space="preserve">7. Cross-References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VI Book 01 (Landing Zone &amp; Network as Code)</w:t>
      </w:r>
      <w:r>
        <w:t xml:space="preserve"> </w:t>
      </w:r>
      <w:r>
        <w:t xml:space="preserve">— the IaC this front door drives.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VIII Book 07 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infoblox-ddi-book/servicenow-app/</w:t>
      </w:r>
      <w:r>
        <w:t xml:space="preserve"> </w:t>
      </w:r>
      <w:r>
        <w:t xml:space="preserve">— the DDI catalog→Terraform→gate→CMDB pattern this book generalizes.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I Book 01 (IPAM/DDI)</w:t>
      </w:r>
      <w:r>
        <w:t xml:space="preserve"> </w:t>
      </w:r>
      <w:r>
        <w:t xml:space="preserve">— the authoritative record allocations reconcile to (CM-8).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VII Book 04</w:t>
      </w:r>
      <w:r>
        <w:t xml:space="preserve"> </w:t>
      </w:r>
      <w:r>
        <w:t xml:space="preserve">— where the provisioning evidence becomes attestation.</w:t>
      </w:r>
    </w:p>
    <w:bookmarkEnd w:id="17"/>
    <w:bookmarkStart w:id="18" w:name="provenance"/>
    <w:p>
      <w:pPr>
        <w:pStyle w:val="Heading1"/>
      </w:pPr>
      <w:r>
        <w:t xml:space="preserve">8. Provenance</w:t>
      </w:r>
    </w:p>
    <w:p>
      <w:pPr>
        <w:pStyle w:val="FirstParagraph"/>
      </w:pPr>
      <w:r>
        <w:t xml:space="preserve">Draft. ServiceNow, the CPG Terraform Connector, Terraform/Bicep, and Azure ALZ are buildable-kit examples; the catalog→approve/SoD→plan→apply→reconcile→close discipline is the invariant. The figure above is authored as committed house-style SVG, rendered to PNG at 3× for crisp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zoom.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IX Book 02 — Federal Compliance — Landing Zone Front Door</dc:title>
  <dc:creator>Federal Cloud Services</dc:creator>
  <cp:keywords/>
  <dcterms:created xsi:type="dcterms:W3CDTF">2026-10-19T10:10:03Z</dcterms:created>
  <dcterms:modified xsi:type="dcterms:W3CDTF">2026-10-19T10:10:03Z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2026-07-12 19:00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The catalog request that drives change-controlled landing-zone IaC and reconciles every allocation to the IPAM/DDI join key</vt:lpwstr>
  </property>
  <property fmtid="{D5CDD505-2E9C-101B-9397-08002B2CF9AE}" pid="16" name="toc-title">
    <vt:lpwstr>Table of contents</vt:lpwstr>
  </property>
</Properties>
</file>