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03 — Federal Compliance — App Registration Governance</w:t>
      </w:r>
    </w:p>
    <w:p>
      <w:pPr>
        <w:pStyle w:val="Subtitle"/>
      </w:pPr>
      <w:r>
        <w:t xml:space="preserve">The app-registration lifecycle as a governed catalog — request, scoped consent, short-lived credentials, rotation, and attestation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2026-07-16 13:48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2026-07-16 09:48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IX Book 03. App registrations are the machine analogue of the joiner/mover/leaver lifecycle — and one of the largest sources of long-lived-secret and over-consent risk in an Entra estate. The architecture is set (Vol I Book 03 Certificates &amp; Tokens; Vol VI Book 02 Identity &amp; Access as Code); this book adds the</w:t>
      </w:r>
      <w:r>
        <w:t xml:space="preserve"> </w:t>
      </w:r>
      <w:r>
        <w:rPr>
          <w:i/>
          <w:iCs/>
        </w:rPr>
        <w:t xml:space="preserve">governed lifecycle</w:t>
      </w:r>
      <w:r>
        <w:t xml:space="preserve">: request, scoped consent, short-lived credentials, owner-approved rotation, and attestation.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An app registration is a workload identity: a service principal with credentials and consented permissions. Left ungoverned, it is where credential sprawl lives — long-lived client secrets pasted into config, over-broad admin consent granted</w:t>
      </w:r>
      <w:r>
        <w:t xml:space="preserve"> </w:t>
      </w:r>
      <w:r>
        <w:t xml:space="preserve">“to make it work,”</w:t>
      </w:r>
      <w:r>
        <w:t xml:space="preserve"> </w:t>
      </w:r>
      <w:r>
        <w:t xml:space="preserve">and orphaned apps whose owner left months ago. Each is a standing violation of least privilege (AC-6) and secure authenticator management (IA-5).</w:t>
      </w:r>
    </w:p>
    <w:p>
      <w:pPr>
        <w:pStyle w:val="BodyText"/>
      </w:pPr>
      <w:r>
        <w:t xml:space="preserve">This book governs the whole lifecycle as catalog work, closing AC-2, IA-5(2), SC-17, and AC-6, and feeding Vol VII Book 04 attestation.</w:t>
      </w:r>
    </w:p>
    <w:bookmarkEnd w:id="10"/>
    <w:bookmarkStart w:id="11" w:name="the-lifecycle"/>
    <w:p>
      <w:pPr>
        <w:pStyle w:val="Heading1"/>
      </w:pPr>
      <w:r>
        <w:t xml:space="preserve">2. The Lifecycle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What happens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1. Request</w:t>
            </w:r>
          </w:p>
        </w:tc>
        <w:tc>
          <w:tcPr/>
          <w:p>
            <w:pPr>
              <w:pStyle w:val="Compact"/>
            </w:pPr>
            <w:r>
              <w:t xml:space="preserve">An app-registration request captures owner, purpose, and the</w:t>
            </w:r>
            <w:r>
              <w:t xml:space="preserve"> </w:t>
            </w:r>
            <w:r>
              <w:rPr>
                <w:i/>
                <w:iCs/>
              </w:rPr>
              <w:t xml:space="preserve">specific</w:t>
            </w:r>
            <w:r>
              <w:t xml:space="preserve"> </w:t>
            </w:r>
            <w:r>
              <w:t xml:space="preserve">scopes needed</w:t>
            </w:r>
          </w:p>
        </w:tc>
        <w:tc>
          <w:tcPr/>
          <w:p>
            <w:pPr>
              <w:pStyle w:val="Compact"/>
            </w:pPr>
            <w:r>
              <w:t xml:space="preserve">AC-2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 Consent</w:t>
            </w:r>
          </w:p>
        </w:tc>
        <w:tc>
          <w:tcPr/>
          <w:p>
            <w:pPr>
              <w:pStyle w:val="Compact"/>
            </w:pPr>
            <w:r>
              <w:t xml:space="preserve">Scoped, admin-consented permissions only — no blanket delegation; any privileged or write scope requires a</w:t>
            </w:r>
            <w:r>
              <w:t xml:space="preserve"> </w:t>
            </w:r>
            <w:r>
              <w:rPr>
                <w:b/>
                <w:bCs/>
              </w:rPr>
              <w:t xml:space="preserve">security approver</w:t>
            </w:r>
            <w:r>
              <w:t xml:space="preserve">, least privilege the default</w:t>
            </w:r>
          </w:p>
        </w:tc>
        <w:tc>
          <w:tcPr/>
          <w:p>
            <w:pPr>
              <w:pStyle w:val="Compact"/>
            </w:pPr>
            <w:r>
              <w:t xml:space="preserve">AC-6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 Credential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short-lived certificate (ACME)</w:t>
            </w:r>
            <w:r>
              <w:t xml:space="preserve"> </w:t>
            </w:r>
            <w:r>
              <w:t xml:space="preserve">or a secret with a</w:t>
            </w:r>
            <w:r>
              <w:t xml:space="preserve"> </w:t>
            </w:r>
            <w:r>
              <w:rPr>
                <w:b/>
                <w:bCs/>
              </w:rPr>
              <w:t xml:space="preserve">mandatory expiry</w:t>
            </w:r>
            <w:r>
              <w:t xml:space="preserve"> </w:t>
            </w:r>
            <w:r>
              <w:t xml:space="preserve">— no long-lived secrets in config</w:t>
            </w:r>
          </w:p>
        </w:tc>
        <w:tc>
          <w:tcPr/>
          <w:p>
            <w:pPr>
              <w:pStyle w:val="Compact"/>
            </w:pPr>
            <w:r>
              <w:t xml:space="preserve">IA-5(2), SC-17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4. Rotate</w:t>
            </w:r>
          </w:p>
        </w:tc>
        <w:tc>
          <w:tcPr/>
          <w:p>
            <w:pPr>
              <w:pStyle w:val="Compact"/>
            </w:pPr>
            <w:r>
              <w:t xml:space="preserve">Rotation is raised automatically before expiry and approved by the owner — the app never depends on a human</w:t>
            </w:r>
            <w:r>
              <w:t xml:space="preserve"> </w:t>
            </w:r>
            <w:r>
              <w:rPr>
                <w:i/>
                <w:iCs/>
              </w:rPr>
              <w:t xml:space="preserve">remembering</w:t>
            </w:r>
          </w:p>
        </w:tc>
        <w:tc>
          <w:tcPr/>
          <w:p>
            <w:pPr>
              <w:pStyle w:val="Compact"/>
            </w:pPr>
            <w:r>
              <w:t xml:space="preserve">IA-5(2)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 Attest</w:t>
            </w:r>
          </w:p>
        </w:tc>
        <w:tc>
          <w:tcPr/>
          <w:p>
            <w:pPr>
              <w:pStyle w:val="Compact"/>
            </w:pPr>
            <w:r>
              <w:t xml:space="preserve">Ownership and scope re-attested on a cadence; orphaned or expired registrations flagged</w:t>
            </w:r>
          </w:p>
        </w:tc>
        <w:tc>
          <w:tcPr/>
          <w:p>
            <w:pPr>
              <w:pStyle w:val="Compact"/>
            </w:pPr>
            <w:r>
              <w:t xml:space="preserve">AC-6, CA-7</w:t>
            </w:r>
          </w:p>
        </w:tc>
      </w:tr>
    </w:tbl>
    <w:p>
      <w:pPr>
        <w:pStyle w:val="BodyText"/>
      </w:pPr>
      <w:r>
        <w:rPr>
          <w:b/>
          <w:bCs/>
        </w:rPr>
        <w:t xml:space="preserve">No long-lived secrets.</w:t>
      </w:r>
      <w:r>
        <w:t xml:space="preserve"> </w:t>
      </w:r>
      <w:r>
        <w:t xml:space="preserve">The single highest-value rule in this book: credentials are short-lived and rotated on schedule. A client secret with a two-year expiry sitting in a pipeline variable is the credential an attacker wants most; certificate-based, short-lived identity removes the target. This is the IA-5(2) / SC-17 closure, applied to workload identity.</w:t>
      </w:r>
    </w:p>
    <w:bookmarkEnd w:id="11"/>
    <w:bookmarkStart w:id="12" w:name="app-registrations-are-machine-jml"/>
    <w:p>
      <w:pPr>
        <w:pStyle w:val="Heading1"/>
      </w:pPr>
      <w:r>
        <w:t xml:space="preserve">3. App Registrations Are Machine JML</w:t>
      </w:r>
    </w:p>
    <w:p>
      <w:pPr>
        <w:pStyle w:val="FirstParagraph"/>
      </w:pPr>
      <w:r>
        <w:t xml:space="preserve">The lifecycle above is deliberately the same shape as the human joiner/mover/leaver catalog (Book 01): a request with an owner, a governed change of scope, and an evidenced retirement. The</w:t>
      </w:r>
      <w:r>
        <w:t xml:space="preserve"> </w:t>
      </w:r>
      <w:r>
        <w:rPr>
          <w:b/>
          <w:bCs/>
        </w:rPr>
        <w:t xml:space="preserve">leaver</w:t>
      </w:r>
      <w:r>
        <w:t xml:space="preserve"> </w:t>
      </w:r>
      <w:r>
        <w:t xml:space="preserve">step is the one most often skipped for apps — an orphaned service principal with live credentials is exactly the ghost-credential risk that human de-provisioning is meant to close. Attestation (stage 5) is the machine-identity equivalent of an access review.</w:t>
      </w:r>
    </w:p>
    <w:bookmarkEnd w:id="12"/>
    <w:bookmarkStart w:id="14" w:name="closure-necessity"/>
    <w:p>
      <w:pPr>
        <w:pStyle w:val="Heading1"/>
      </w:pPr>
      <w:r>
        <w:t xml:space="preserve">4. Closure Necessity</w:t>
      </w:r>
    </w:p>
    <w:bookmarkStart w:id="13" w:name="Xaebd933ca0b5def6b50e65402d655b1c0f4a5c3"/>
    <w:p>
      <w:pPr>
        <w:pStyle w:val="Heading2"/>
      </w:pPr>
      <w:r>
        <w:t xml:space="preserve">4.1 Closure Necessity — a workload identity with no lifecycle is a permanent liability</w:t>
      </w:r>
    </w:p>
    <w:p>
      <w:pPr>
        <w:pStyle w:val="FirstParagraph"/>
      </w:pPr>
      <w:r>
        <w:t xml:space="preserve">Volume I/VI prove that certificate-based, short-lived, least-privilege credentials are the mechanism. This book makes the</w:t>
      </w:r>
      <w:r>
        <w:t xml:space="preserve"> </w:t>
      </w:r>
      <w:r>
        <w:rPr>
          <w:i/>
          <w:iCs/>
        </w:rPr>
        <w:t xml:space="preserve">lifecycle</w:t>
      </w:r>
      <w:r>
        <w:t xml:space="preserve"> </w:t>
      </w:r>
      <w:r>
        <w:t xml:space="preserve">of a workload identity governed and evidenced. Without it, app registrations accumulate long-lived secrets and over-broad consent that no scanner authored and no owner reviews — IA-5(2), SC-17, and AC-6 quietly regress with every</w:t>
      </w:r>
      <w:r>
        <w:t xml:space="preserve"> </w:t>
      </w:r>
      <w:r>
        <w:t xml:space="preserve">“temporary”</w:t>
      </w:r>
      <w:r>
        <w:t xml:space="preserve"> </w:t>
      </w:r>
      <w:r>
        <w:t xml:space="preserve">secret that never expires. Governing the lifecycle is what keeps the mechanism true over time.</w:t>
      </w:r>
    </w:p>
    <w:bookmarkEnd w:id="13"/>
    <w:bookmarkEnd w:id="14"/>
    <w:bookmarkStart w:id="15" w:name="Xebd9fbc0874ac437cee95afe649484f9b290fc1"/>
    <w:p>
      <w:pPr>
        <w:pStyle w:val="Heading1"/>
      </w:pPr>
      <w:r>
        <w:t xml:space="preserve">5. NIST SP 800-53 Rev 5 Control Closure — Authorities Closed Here</w:t>
      </w:r>
    </w:p>
    <w:p>
      <w:pPr>
        <w:pStyle w:val="FirstParagraph"/>
      </w:pPr>
      <w:r>
        <w:t xml:space="preserve">Generated from the compliance spine (</w:t>
      </w:r>
      <w:r>
        <w:rPr>
          <w:rStyle w:val="VerbatimChar"/>
        </w:rPr>
        <w:t xml:space="preserve">federal-compliance-compliance-spine.yml</w:t>
      </w:r>
      <w:r>
        <w:t xml:space="preserve">); not hand-edited here.</w:t>
      </w:r>
    </w:p>
    <w:p>
      <w:pPr>
        <w:pStyle w:val="TableCaption"/>
      </w:pPr>
      <w:r>
        <w:t xml:space="preserve">Authorities Closed Here â€” App Registration Governance (request Â· consent Â· secret/cert lifecycle) (â€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â€” App Registration Governance (request Â· consent Â· secret/cert lifecycle) (â€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App registrations managed as machine joiner/mover/leaver: a governed request captures owner, purpose and the specific scopes needed before any credential exists, and orphaned registrations are retired through attestation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Scoped admin consent; over-broad/privileged scopes gated by a security approver; orphaned/expired app registrations flagged for attestation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IA-5(2)</w:t>
            </w:r>
          </w:p>
        </w:tc>
        <w:tc>
          <w:tcPr/>
          <w:p>
            <w:pPr>
              <w:pStyle w:val="Compact"/>
            </w:pPr>
            <w:r>
              <w:t xml:space="preserve">Public Key-Based Authentication</w:t>
            </w:r>
          </w:p>
        </w:tc>
        <w:tc>
          <w:tcPr/>
          <w:p>
            <w:pPr>
              <w:pStyle w:val="Compact"/>
            </w:pPr>
            <w:r>
              <w:t xml:space="preserve">App-registration credentials issued as short-lived certs (ACME) with mandatory expiry and scheduled, owner-approved rotation â€” no long-lived secrets in config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EO 14028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SC-17</w:t>
            </w:r>
          </w:p>
        </w:tc>
        <w:tc>
          <w:tcPr/>
          <w:p>
            <w:pPr>
              <w:pStyle w:val="Compact"/>
            </w:pPr>
            <w:r>
              <w:t xml:space="preserve">Public Key Infrastructure Certificates</w:t>
            </w:r>
          </w:p>
        </w:tc>
        <w:tc>
          <w:tcPr/>
          <w:p>
            <w:pPr>
              <w:pStyle w:val="Compact"/>
            </w:pPr>
            <w:r>
              <w:t xml:space="preserve">Certificate issuance and rotation for service principals via the governed catalog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5"/>
    <w:bookmarkStart w:id="16" w:name="honest-limits"/>
    <w:p>
      <w:pPr>
        <w:pStyle w:val="Heading1"/>
      </w:pPr>
      <w:r>
        <w:t xml:space="preserve">6. Honest Limits</w:t>
      </w:r>
    </w:p>
    <w:p>
      <w:pPr>
        <w:pStyle w:val="Compact"/>
        <w:numPr>
          <w:ilvl w:val="0"/>
          <w:numId w:val="1001"/>
        </w:numPr>
      </w:pPr>
      <w:r>
        <w:t xml:space="preserve">Not every app supports certificate credentials; where a secret is unavoidable, the expiry is short and rotation is still automated — the exception is documented, not silent.</w:t>
      </w:r>
    </w:p>
    <w:p>
      <w:pPr>
        <w:pStyle w:val="Compact"/>
        <w:numPr>
          <w:ilvl w:val="0"/>
          <w:numId w:val="1001"/>
        </w:numPr>
      </w:pPr>
      <w:r>
        <w:t xml:space="preserve">Consent governance covers</w:t>
      </w:r>
      <w:r>
        <w:t xml:space="preserve"> </w:t>
      </w:r>
      <w:r>
        <w:rPr>
          <w:i/>
          <w:iCs/>
        </w:rPr>
        <w:t xml:space="preserve">new</w:t>
      </w:r>
      <w:r>
        <w:t xml:space="preserve"> </w:t>
      </w:r>
      <w:r>
        <w:t xml:space="preserve">grants; a sweep of existing over-consented apps is a one-time remediation the attestation cadence then maintains.</w:t>
      </w:r>
    </w:p>
    <w:p>
      <w:pPr>
        <w:pStyle w:val="Compact"/>
        <w:numPr>
          <w:ilvl w:val="0"/>
          <w:numId w:val="1001"/>
        </w:numPr>
      </w:pPr>
      <w:r>
        <w:t xml:space="preserve">Rotation depends on the certificate authority chosen in Vol I Book 03 / Vol VI Book 02; this book governs the workflow, not the CA.</w:t>
      </w:r>
    </w:p>
    <w:bookmarkEnd w:id="16"/>
    <w:bookmarkStart w:id="17" w:name="cross-references"/>
    <w:p>
      <w:pPr>
        <w:pStyle w:val="Heading1"/>
      </w:pPr>
      <w:r>
        <w:t xml:space="preserve">7. Cross-References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 Book 03 (Certificates &amp; Tokens)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Vol VI Book 02 (Identity &amp; Access as Code)</w:t>
      </w:r>
      <w:r>
        <w:t xml:space="preserve"> </w:t>
      </w:r>
      <w:r>
        <w:t xml:space="preserve">— the cryptographic-identity architecture this book governs the lifecycle for.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IX Book 01</w:t>
      </w:r>
      <w:r>
        <w:t xml:space="preserve"> </w:t>
      </w:r>
      <w:r>
        <w:t xml:space="preserve">— the human JML this app lifecycle mirrors.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 VII Book 04</w:t>
      </w:r>
      <w:r>
        <w:t xml:space="preserve"> </w:t>
      </w:r>
      <w:r>
        <w:t xml:space="preserve">— where attestation of app-registration ownership/scope lands (CA-7).</w:t>
      </w:r>
    </w:p>
    <w:bookmarkEnd w:id="17"/>
    <w:bookmarkStart w:id="18" w:name="provenance"/>
    <w:p>
      <w:pPr>
        <w:pStyle w:val="Heading1"/>
      </w:pPr>
      <w:r>
        <w:t xml:space="preserve">8. Provenance</w:t>
      </w:r>
    </w:p>
    <w:p>
      <w:pPr>
        <w:pStyle w:val="FirstParagraph"/>
      </w:pPr>
      <w:r>
        <w:t xml:space="preserve">Draft. Entra app registrations, ACME, and certificate-based service-principal auth are deployed examples; the request→scoped-consent→short-lived-credential→rotate→attest discipline is the invariant. The figure above is authored as committed house-style SVG, rendered to PNG at 3× 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03 — Federal Compliance — App Registration Governance</dc:title>
  <dc:creator>Federal Cloud Services</dc:creator>
  <cp:keywords/>
  <dcterms:created xsi:type="dcterms:W3CDTF">2026-10-19T10:10:03Z</dcterms:created>
  <dcterms:modified xsi:type="dcterms:W3CDTF">2026-10-19T10:10:03Z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2026-07-16 13:48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app-registration lifecycle as a governed catalog — request, scoped consent, short-lived credentials, rotation, and attestation</vt:lpwstr>
  </property>
  <property fmtid="{D5CDD505-2E9C-101B-9397-08002B2CF9AE}" pid="16" name="toc-title">
    <vt:lpwstr>Table of contents</vt:lpwstr>
  </property>
</Properties>
</file>