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IX Book 06 — Federal Compliance — Identity &amp; Access Governance</w:t>
      </w:r>
    </w:p>
    <w:p>
      <w:pPr>
        <w:pStyle w:val="Subtitle"/>
      </w:pPr>
      <w:r>
        <w:t xml:space="preserve">JML automation from the HRIT Org SSOT, access-certification campaigns, and the IAM evidence feed — the governance layer over the day-2 request lane (Kit Expansion Phase 2)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2026-07-21 18:46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2026-07-21 14:46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IX Book 06. Book 01 governs identity</w:t>
      </w:r>
      <w:r>
        <w:t xml:space="preserve"> </w:t>
      </w:r>
      <w:r>
        <w:rPr>
          <w:i/>
          <w:iCs/>
        </w:rPr>
        <w:t xml:space="preserve">requests</w:t>
      </w:r>
      <w:r>
        <w:t xml:space="preserve">: an operator asks, an approver approves, the MID actuates. This book is the governance layer above that lane — the lifecycle that runs without anyone asking (JML automation from HR events), the review that runs on a calendar (access-certification campaigns), and the evidence both produce (the IAM feed into Vol VII Book 04 attestation). It is the series home for the</w:t>
      </w:r>
      <w:r>
        <w:t xml:space="preserve"> </w:t>
      </w:r>
      <w:r>
        <w:rPr>
          <w:b/>
          <w:bCs/>
        </w:rPr>
        <w:t xml:space="preserve">Identity &amp; Access Governance Kit — Kit Expansion Phase 2</w:t>
      </w:r>
      <w:r>
        <w:t xml:space="preserve">; the kit realization is gated as stated below.</w:t>
      </w:r>
    </w:p>
    <w:p>
      <w:pPr>
        <w:pStyle w:val="BodyText"/>
      </w:pPr>
      <w:r>
        <w:rPr>
          <w:b/>
          <w:bCs/>
        </w:rPr>
        <w:t xml:space="preserve">Phase 2 gates — the kit is not buildable yet.</w:t>
      </w:r>
      <w:r>
        <w:t xml:space="preserve"> </w:t>
      </w:r>
      <w:r>
        <w:t xml:space="preserve">Three gates precede implementation, per the kit-expansion roadmap:</w:t>
      </w:r>
      <w:r>
        <w:t xml:space="preserve"> </w:t>
      </w:r>
      <w:r>
        <w:rPr>
          <w:b/>
          <w:bCs/>
        </w:rPr>
        <w:t xml:space="preserve">(1)</w:t>
      </w:r>
      <w:r>
        <w:t xml:space="preserve"> </w:t>
      </w:r>
      <w:r>
        <w:t xml:space="preserve">the foundation kits (Vol VII, DDI, Day-2) running in sub-production with green ATF;</w:t>
      </w:r>
      <w:r>
        <w:t xml:space="preserve"> </w:t>
      </w:r>
      <w:r>
        <w:rPr>
          <w:b/>
          <w:bCs/>
        </w:rPr>
        <w:t xml:space="preserve">(2)</w:t>
      </w:r>
      <w:r>
        <w:t xml:space="preserve"> </w:t>
      </w:r>
      <w:r>
        <w:t xml:space="preserve">Vol I Book 04’s HRIT Identity &amp; Org SSOT implemented and providing reliable event data;</w:t>
      </w:r>
      <w:r>
        <w:t xml:space="preserve"> </w:t>
      </w:r>
      <w:r>
        <w:rPr>
          <w:b/>
          <w:bCs/>
        </w:rPr>
        <w:t xml:space="preserve">(3)</w:t>
      </w:r>
      <w:r>
        <w:t xml:space="preserve"> </w:t>
      </w:r>
      <w:r>
        <w:t xml:space="preserve">the kit requirements advanced from</w:t>
      </w:r>
      <w:r>
        <w:t xml:space="preserve"> </w:t>
      </w:r>
      <w:r>
        <w:rPr>
          <w:b/>
          <w:bCs/>
        </w:rPr>
        <w:t xml:space="preserve">Draft v0.9 to a signed-off v1.0</w:t>
      </w:r>
      <w:r>
        <w:t xml:space="preserve"> </w:t>
      </w:r>
      <w:r>
        <w:t xml:space="preserve">through CSI/OIS workshops. This book records the series home, the control contract, and the design shape so the kit lands into a settled slot when the gates clear — the control closures below are the book’s contract, not yet kit-bound.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Identity governance today is manual where it matters most. Access reviews are</w:t>
      </w:r>
      <w:r>
        <w:t xml:space="preserve"> </w:t>
      </w:r>
      <w:r>
        <w:t xml:space="preserve">compiled by hand for ConMon. Least-privilege verification is a spreadsheet</w:t>
      </w:r>
      <w:r>
        <w:t xml:space="preserve"> </w:t>
      </w:r>
      <w:r>
        <w:t xml:space="preserve">exercise. Leaver de-provisioning is evidenced after the fact, if at all. The</w:t>
      </w:r>
      <w:r>
        <w:t xml:space="preserve"> </w:t>
      </w:r>
      <w:r>
        <w:t xml:space="preserve">Book 01 catalog made identity</w:t>
      </w:r>
      <w:r>
        <w:t xml:space="preserve"> </w:t>
      </w:r>
      <w:r>
        <w:rPr>
          <w:i/>
          <w:iCs/>
        </w:rPr>
        <w:t xml:space="preserve">requests</w:t>
      </w:r>
      <w:r>
        <w:t xml:space="preserve"> </w:t>
      </w:r>
      <w:r>
        <w:t xml:space="preserve">governed — but a request lane only</w:t>
      </w:r>
      <w:r>
        <w:t xml:space="preserve"> </w:t>
      </w:r>
      <w:r>
        <w:t xml:space="preserve">governs what someone remembers to request. The three standing obligations that</w:t>
      </w:r>
      <w:r>
        <w:t xml:space="preserve"> </w:t>
      </w:r>
      <w:r>
        <w:t xml:space="preserve">run on events and calendars rather than tickets have no automation: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JML from the HRIT Org SSOT.</w:t>
      </w:r>
      <w:r>
        <w:t xml:space="preserve"> </w:t>
      </w:r>
      <w:r>
        <w:t xml:space="preserve">Joiner provisioning, mover access</w:t>
      </w:r>
      <w:r>
        <w:t xml:space="preserve"> </w:t>
      </w:r>
      <w:r>
        <w:t xml:space="preserve">re-derivation and residual review, and leaver de-provisioning within SLA —</w:t>
      </w:r>
      <w:r>
        <w:t xml:space="preserve"> </w:t>
      </w:r>
      <w:r>
        <w:t xml:space="preserve">driven by effective-dated HR events, with approval gates on high-risk</w:t>
      </w:r>
      <w:r>
        <w:t xml:space="preserve"> </w:t>
      </w:r>
      <w:r>
        <w:t xml:space="preserve">events and one-way attribute flow from HR to the directory, with drift</w:t>
      </w:r>
      <w:r>
        <w:t xml:space="preserve"> </w:t>
      </w:r>
      <w:r>
        <w:t xml:space="preserve">detected against the HR record.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Access-certification campaigns.</w:t>
      </w:r>
      <w:r>
        <w:t xml:space="preserve"> </w:t>
      </w:r>
      <w:r>
        <w:t xml:space="preserve">Scheduled user, manager,</w:t>
      </w:r>
      <w:r>
        <w:t xml:space="preserve"> </w:t>
      </w:r>
      <w:r>
        <w:t xml:space="preserve">application-owner, and privileged reviews with SSOT context; bulk decisions</w:t>
      </w:r>
      <w:r>
        <w:t xml:space="preserve"> </w:t>
      </w:r>
      <w:r>
        <w:t xml:space="preserve">with an audit trail; every revocation triggering a tracked remediation</w:t>
      </w:r>
      <w:r>
        <w:t xml:space="preserve"> </w:t>
      </w:r>
      <w:r>
        <w:t xml:space="preserve">workflow.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IAM evidence generation.</w:t>
      </w:r>
      <w:r>
        <w:t xml:space="preserve"> </w:t>
      </w:r>
      <w:r>
        <w:t xml:space="preserve">Campaign completion, MFA and Conditional-Access</w:t>
      </w:r>
      <w:r>
        <w:t xml:space="preserve"> </w:t>
      </w:r>
      <w:r>
        <w:t xml:space="preserve">coverage, SSOT-versus-directory least-privilege comparison, and immutable</w:t>
      </w:r>
      <w:r>
        <w:t xml:space="preserve"> </w:t>
      </w:r>
      <w:r>
        <w:t xml:space="preserve">JML audit logs — exported OSCAL-compatibly into the attestation loop.</w:t>
      </w:r>
    </w:p>
    <w:bookmarkEnd w:id="10"/>
    <w:bookmarkStart w:id="11" w:name="config-not-compliance"/>
    <w:p>
      <w:pPr>
        <w:pStyle w:val="Heading1"/>
      </w:pPr>
      <w:r>
        <w:t xml:space="preserve">2. Configuration Is Not Compliance — Why This Book Exists</w:t>
      </w:r>
    </w:p>
    <w:p>
      <w:pPr>
        <w:pStyle w:val="FirstParagraph"/>
      </w:pPr>
      <w:r>
        <w:t xml:space="preserve">The identity stack beneath this book is genuinely strong: federation puts</w:t>
      </w:r>
      <w:r>
        <w:t xml:space="preserve"> </w:t>
      </w:r>
      <w:r>
        <w:t xml:space="preserve">every SaaS sign-in behind the agency’s phishing-resistant MFA (Vol IX</w:t>
      </w:r>
      <w:r>
        <w:t xml:space="preserve"> </w:t>
      </w:r>
      <w:r>
        <w:t xml:space="preserve">Book 05), SCIM automates provisioning and deprovisioning, and the</w:t>
      </w:r>
      <w:r>
        <w:t xml:space="preserve"> </w:t>
      </w:r>
      <w:r>
        <w:t xml:space="preserve">five-verb help-desk catalog (Vol IX Book 01) makes routine identity</w:t>
      </w:r>
      <w:r>
        <w:t xml:space="preserve"> </w:t>
      </w:r>
      <w:r>
        <w:t xml:space="preserve">operations governed and evidenced. It is tempting to conclude the</w:t>
      </w:r>
      <w:r>
        <w:t xml:space="preserve"> </w:t>
      </w:r>
      <w:r>
        <w:t xml:space="preserve">identity controls are therefore closed. NIST SP 800-53 says otherwise —</w:t>
      </w:r>
      <w:r>
        <w:t xml:space="preserve"> </w:t>
      </w:r>
      <w:r>
        <w:t xml:space="preserve">deliberately. The control families</w:t>
      </w:r>
      <w:r>
        <w:t xml:space="preserve"> </w:t>
      </w:r>
      <w:r>
        <w:rPr>
          <w:i/>
          <w:iCs/>
        </w:rPr>
        <w:t xml:space="preserve">begin</w:t>
      </w:r>
      <w:r>
        <w:t xml:space="preserve"> </w:t>
      </w:r>
      <w:r>
        <w:t xml:space="preserve">with policy and procedure</w:t>
      </w:r>
      <w:r>
        <w:t xml:space="preserve"> </w:t>
      </w:r>
      <w:r>
        <w:t xml:space="preserve">requirements (AC-1, IA-1), and the account-management family carries the</w:t>
      </w:r>
      <w:r>
        <w:t xml:space="preserve"> </w:t>
      </w:r>
      <w:r>
        <w:t xml:space="preserve">enhancements configuration cannot reach:</w:t>
      </w:r>
      <w:r>
        <w:t xml:space="preserve"> </w:t>
      </w:r>
      <w:r>
        <w:rPr>
          <w:b/>
          <w:bCs/>
        </w:rPr>
        <w:t xml:space="preserve">AC-2(5)</w:t>
      </w:r>
      <w:r>
        <w:t xml:space="preserve"> </w:t>
      </w:r>
      <w:r>
        <w:t xml:space="preserve">and the</w:t>
      </w:r>
      <w:r>
        <w:t xml:space="preserve"> </w:t>
      </w:r>
      <w:r>
        <w:t xml:space="preserve">review-and-recertification discipline, where a human accountable for an</w:t>
      </w:r>
      <w:r>
        <w:t xml:space="preserve"> </w:t>
      </w:r>
      <w:r>
        <w:t xml:space="preserve">access decision periodically re-affirms or revokes it against the SSOT.</w:t>
      </w:r>
      <w:r>
        <w:t xml:space="preserve"> </w:t>
      </w:r>
      <w:r>
        <w:t xml:space="preserve">A perfectly configured tenant with no certification campaigns has</w:t>
      </w:r>
      <w:r>
        <w:t xml:space="preserve"> </w:t>
      </w:r>
      <w:r>
        <w:t xml:space="preserve">automated its grants and abandoned its reviews — every entitlement is</w:t>
      </w:r>
      <w:r>
        <w:t xml:space="preserve"> </w:t>
      </w:r>
      <w:r>
        <w:t xml:space="preserve">efficiently provisioned and nobody has confirmed it should still exist.</w:t>
      </w:r>
      <w:r>
        <w:t xml:space="preserve"> </w:t>
      </w:r>
      <w:r>
        <w:t xml:space="preserve">This book is the layer that closes that split: scheduled campaigns with</w:t>
      </w:r>
      <w:r>
        <w:t xml:space="preserve"> </w:t>
      </w:r>
      <w:r>
        <w:t xml:space="preserve">SSOT context, revocations that become tracked remediation (not advisory</w:t>
      </w:r>
      <w:r>
        <w:t xml:space="preserve"> </w:t>
      </w:r>
      <w:r>
        <w:t xml:space="preserve">emails), and evidence that the review</w:t>
      </w:r>
      <w:r>
        <w:t xml:space="preserve"> </w:t>
      </w:r>
      <w:r>
        <w:rPr>
          <w:i/>
          <w:iCs/>
        </w:rPr>
        <w:t xml:space="preserve">happened and bit</w:t>
      </w:r>
      <w:r>
        <w:t xml:space="preserve"> </w:t>
      </w:r>
      <w:r>
        <w:t xml:space="preserve">— exported into</w:t>
      </w:r>
      <w:r>
        <w:t xml:space="preserve"> </w:t>
      </w:r>
      <w:r>
        <w:t xml:space="preserve">the same attestation loop as everything else. Configuration makes</w:t>
      </w:r>
      <w:r>
        <w:t xml:space="preserve"> </w:t>
      </w:r>
      <w:r>
        <w:t xml:space="preserve">identity controls enforceable; governance makes them true over time.</w:t>
      </w:r>
    </w:p>
    <w:bookmarkEnd w:id="11"/>
    <w:bookmarkStart w:id="12" w:name="the-governance-loop"/>
    <w:p>
      <w:pPr>
        <w:pStyle w:val="Heading1"/>
      </w:pPr>
      <w:r>
        <w:t xml:space="preserve">3. The Governance Loop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Lane</w:t>
            </w:r>
          </w:p>
        </w:tc>
        <w:tc>
          <w:tcPr/>
          <w:p>
            <w:pPr>
              <w:pStyle w:val="Compact"/>
            </w:pPr>
            <w:r>
              <w:t xml:space="preserve">What runs</w:t>
            </w:r>
          </w:p>
        </w:tc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JML automation</w:t>
            </w:r>
          </w:p>
        </w:tc>
        <w:tc>
          <w:tcPr/>
          <w:p>
            <w:pPr>
              <w:pStyle w:val="Compact"/>
            </w:pPr>
            <w:r>
              <w:t xml:space="preserve">Joiner provisioning · mover re-derivation + residual review · leaver de-provisioning within SLA</w:t>
            </w:r>
          </w:p>
        </w:tc>
        <w:tc>
          <w:tcPr/>
          <w:p>
            <w:pPr>
              <w:pStyle w:val="Compact"/>
            </w:pPr>
            <w:r>
              <w:t xml:space="preserve">Effective-dated HR event</w:t>
            </w:r>
          </w:p>
        </w:tc>
        <w:tc>
          <w:tcPr/>
          <w:p>
            <w:pPr>
              <w:pStyle w:val="Compact"/>
            </w:pPr>
            <w:r>
              <w:t xml:space="preserve">AC-2, IA-4, IA-5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Approval gates</w:t>
            </w:r>
          </w:p>
        </w:tc>
        <w:tc>
          <w:tcPr/>
          <w:p>
            <w:pPr>
              <w:pStyle w:val="Compact"/>
            </w:pPr>
            <w:r>
              <w:t xml:space="preserve">High-risk lifecycle events (privileged roles, sensitive orgs) held for second-party approval</w:t>
            </w:r>
          </w:p>
        </w:tc>
        <w:tc>
          <w:tcPr/>
          <w:p>
            <w:pPr>
              <w:pStyle w:val="Compact"/>
            </w:pPr>
            <w:r>
              <w:t xml:space="preserve">Risk classification</w:t>
            </w:r>
          </w:p>
        </w:tc>
        <w:tc>
          <w:tcPr/>
          <w:p>
            <w:pPr>
              <w:pStyle w:val="Compact"/>
            </w:pPr>
            <w:r>
              <w:t xml:space="preserve">AC-5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Certification campaigns</w:t>
            </w:r>
          </w:p>
        </w:tc>
        <w:tc>
          <w:tcPr/>
          <w:p>
            <w:pPr>
              <w:pStyle w:val="Compact"/>
            </w:pPr>
            <w:r>
              <w:t xml:space="preserve">User / manager / application-owner / privileged reviews; bulk decisions audited; revocation → remediation workflow</w:t>
            </w:r>
          </w:p>
        </w:tc>
        <w:tc>
          <w:tcPr/>
          <w:p>
            <w:pPr>
              <w:pStyle w:val="Compact"/>
            </w:pPr>
            <w:r>
              <w:t xml:space="preserve">Calendar cadence</w:t>
            </w:r>
          </w:p>
        </w:tc>
        <w:tc>
          <w:tcPr/>
          <w:p>
            <w:pPr>
              <w:pStyle w:val="Compact"/>
            </w:pPr>
            <w:r>
              <w:t xml:space="preserve">AC-6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Evidence feed</w:t>
            </w:r>
          </w:p>
        </w:tc>
        <w:tc>
          <w:tcPr/>
          <w:p>
            <w:pPr>
              <w:pStyle w:val="Compact"/>
            </w:pPr>
            <w:r>
              <w:t xml:space="preserve">Campaign completion, coverage comparisons, immutable JML logs — OSCAL-compatible export</w:t>
            </w:r>
          </w:p>
        </w:tc>
        <w:tc>
          <w:tcPr/>
          <w:p>
            <w:pPr>
              <w:pStyle w:val="Compact"/>
            </w:pPr>
            <w:r>
              <w:t xml:space="preserve">Every action</w:t>
            </w:r>
          </w:p>
        </w:tc>
        <w:tc>
          <w:tcPr/>
          <w:p>
            <w:pPr>
              <w:pStyle w:val="Compact"/>
            </w:pPr>
            <w:r>
              <w:t xml:space="preserve">AU-2 → CA-2/CA-7</w:t>
            </w:r>
          </w:p>
        </w:tc>
      </w:tr>
    </w:tbl>
    <w:p>
      <w:pPr>
        <w:pStyle w:val="BodyText"/>
      </w:pPr>
      <w:r>
        <w:rPr>
          <w:b/>
          <w:bCs/>
        </w:rPr>
        <w:t xml:space="preserve">The truth planes do not move.</w:t>
      </w:r>
      <w:r>
        <w:t xml:space="preserve"> </w:t>
      </w:r>
      <w:r>
        <w:t xml:space="preserve">The HRIT Org SSOT (Vol I Book 04) remains the</w:t>
      </w:r>
      <w:r>
        <w:t xml:space="preserve"> </w:t>
      </w:r>
      <w:r>
        <w:t xml:space="preserve">source of employment truth; IPAM/DDI remains the source of asset truth; the</w:t>
      </w:r>
      <w:r>
        <w:t xml:space="preserve"> </w:t>
      </w:r>
      <w:r>
        <w:t xml:space="preserve">CMDB reconciles and never replaces either. This book automates</w:t>
      </w:r>
      <w:r>
        <w:t xml:space="preserve"> </w:t>
      </w:r>
      <w:r>
        <w:rPr>
          <w:i/>
          <w:iCs/>
        </w:rPr>
        <w:t xml:space="preserve">consequences</w:t>
      </w:r>
      <w:r>
        <w:t xml:space="preserve"> </w:t>
      </w:r>
      <w:r>
        <w:t xml:space="preserve">of truth-plane events — it does not create a second place where identity truth</w:t>
      </w:r>
      <w:r>
        <w:t xml:space="preserve"> </w:t>
      </w:r>
      <w:r>
        <w:t xml:space="preserve">lives.</w:t>
      </w:r>
    </w:p>
    <w:bookmarkEnd w:id="12"/>
    <w:bookmarkStart w:id="13" w:name="governance-not-requests-the-book-01-seam"/>
    <w:p>
      <w:pPr>
        <w:pStyle w:val="Heading1"/>
      </w:pPr>
      <w:r>
        <w:t xml:space="preserve">4. Governance, Not Requests — the Book 01 Seam</w:t>
      </w:r>
    </w:p>
    <w:p>
      <w:pPr>
        <w:pStyle w:val="FirstParagraph"/>
      </w:pPr>
      <w:r>
        <w:t xml:space="preserve">Book 01 and this book divide the identity surface cleanly. A password reset is</w:t>
      </w:r>
      <w:r>
        <w:t xml:space="preserve"> </w:t>
      </w:r>
      <w:r>
        <w:t xml:space="preserve">a request: someone asks, the catalog governs the asking. A leaver</w:t>
      </w:r>
      <w:r>
        <w:t xml:space="preserve"> </w:t>
      </w:r>
      <w:r>
        <w:t xml:space="preserve">de-provisioning is not a request — nobody asks for their own departure to be</w:t>
      </w:r>
      <w:r>
        <w:t xml:space="preserve"> </w:t>
      </w:r>
      <w:r>
        <w:t xml:space="preserve">processed — it is a consequence that must fire because the HR record changed.</w:t>
      </w:r>
      <w:r>
        <w:t xml:space="preserve"> </w:t>
      </w:r>
      <w:r>
        <w:t xml:space="preserve">The request lane cannot close that class of obligation, which is why AC-2’s</w:t>
      </w:r>
      <w:r>
        <w:t xml:space="preserve"> </w:t>
      </w:r>
      <w:r>
        <w:t xml:space="preserve">event-driven half, the certification calendar, and the evidence feed live</w:t>
      </w:r>
      <w:r>
        <w:t xml:space="preserve"> </w:t>
      </w:r>
      <w:r>
        <w:t xml:space="preserve">here. The seam is the trigger:</w:t>
      </w:r>
      <w:r>
        <w:t xml:space="preserve"> </w:t>
      </w:r>
      <w:r>
        <w:rPr>
          <w:b/>
          <w:bCs/>
        </w:rPr>
        <w:t xml:space="preserve">tickets govern asks; this book governs</w:t>
      </w:r>
      <w:r>
        <w:rPr>
          <w:b/>
          <w:bCs/>
        </w:rPr>
        <w:t xml:space="preserve"> </w:t>
      </w:r>
      <w:r>
        <w:rPr>
          <w:b/>
          <w:bCs/>
        </w:rPr>
        <w:t xml:space="preserve">events and calendars.</w:t>
      </w:r>
    </w:p>
    <w:bookmarkEnd w:id="13"/>
    <w:bookmarkStart w:id="15" w:name="closure-necessity"/>
    <w:p>
      <w:pPr>
        <w:pStyle w:val="Heading1"/>
      </w:pPr>
      <w:r>
        <w:t xml:space="preserve">5. Closure Necessity</w:t>
      </w:r>
    </w:p>
    <w:bookmarkStart w:id="14" w:name="Xa7503d8eedff289ef07b258753757b4db390b86"/>
    <w:p>
      <w:pPr>
        <w:pStyle w:val="Heading2"/>
      </w:pPr>
      <w:r>
        <w:t xml:space="preserve">5.1 Closure Necessity — a review that depends on remembering is not a control</w:t>
      </w:r>
    </w:p>
    <w:p>
      <w:pPr>
        <w:pStyle w:val="FirstParagraph"/>
      </w:pPr>
      <w:r>
        <w:t xml:space="preserve">Vol I Book 04 proves the SSOT is the only source that</w:t>
      </w:r>
      <w:r>
        <w:t xml:space="preserve"> </w:t>
      </w:r>
      <w:r>
        <w:rPr>
          <w:i/>
          <w:iCs/>
        </w:rPr>
        <w:t xml:space="preserve">generates</w:t>
      </w:r>
      <w:r>
        <w:t xml:space="preserve"> </w:t>
      </w:r>
      <w:r>
        <w:t xml:space="preserve">employment</w:t>
      </w:r>
      <w:r>
        <w:t xml:space="preserve"> </w:t>
      </w:r>
      <w:r>
        <w:t xml:space="preserve">truth. This book is where that truth becomes enforcement on a schedule no</w:t>
      </w:r>
      <w:r>
        <w:t xml:space="preserve"> </w:t>
      </w:r>
      <w:r>
        <w:t xml:space="preserve">human sustains: leavers de-provisioned within SLA every time, certifications</w:t>
      </w:r>
      <w:r>
        <w:t xml:space="preserve"> </w:t>
      </w:r>
      <w:r>
        <w:t xml:space="preserve">that fire on a calendar rather than an audit finding, and evidence produced</w:t>
      </w:r>
      <w:r>
        <w:t xml:space="preserve"> </w:t>
      </w:r>
      <w:r>
        <w:t xml:space="preserve">by the workflow itself rather than reconstructed for the assessor. Remove the</w:t>
      </w:r>
      <w:r>
        <w:t xml:space="preserve"> </w:t>
      </w:r>
      <w:r>
        <w:t xml:space="preserve">automation and AC-2/AC-6 regress to whatever the last hand-run review caught;</w:t>
      </w:r>
      <w:r>
        <w:t xml:space="preserve"> </w:t>
      </w:r>
      <w:r>
        <w:t xml:space="preserve">remove the evidence feed and the controls may hold but cannot be proven.</w:t>
      </w:r>
    </w:p>
    <w:bookmarkEnd w:id="14"/>
    <w:bookmarkEnd w:id="15"/>
    <w:bookmarkStart w:id="16" w:name="Xebd9fbc0874ac437cee95afe649484f9b290fc1"/>
    <w:p>
      <w:pPr>
        <w:pStyle w:val="Heading1"/>
      </w:pPr>
      <w:r>
        <w:t xml:space="preserve">6. NIST SP 800-53 Rev 5 Control Closure — Authorities Closed Here</w:t>
      </w:r>
    </w:p>
    <w:p>
      <w:pPr>
        <w:pStyle w:val="FirstParagraph"/>
      </w:pPr>
      <w:r>
        <w:t xml:space="preserve">Generated from the compliance spine (</w:t>
      </w:r>
      <w:r>
        <w:rPr>
          <w:rStyle w:val="VerbatimChar"/>
        </w:rPr>
        <w:t xml:space="preserve">federal-compliance-compliance-spine.yml</w:t>
      </w:r>
      <w:r>
        <w:t xml:space="preserve">); not hand-edited here.</w:t>
      </w:r>
    </w:p>
    <w:p>
      <w:pPr>
        <w:pStyle w:val="TableCaption"/>
      </w:pPr>
      <w:r>
        <w:t xml:space="preserve">Authorities Closed Here — Identity &amp; Access Governance (JML automation · certification campaigns · IAM evidence) (†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— Identity &amp; Access Governance (JML automation · certification campaigns · IAM evidence) (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Joiner/mover/leaver executed as lifecycle automation from effective-dated HR events — joiner provisioning, mover access re-derivation, leaver de-provisioning within SLA — with approval gates on high-risk events; extends the Book 01 request lane from operator-requested to event-driven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M-22-09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AC-5</w:t>
            </w:r>
          </w:p>
        </w:tc>
        <w:tc>
          <w:tcPr/>
          <w:p>
            <w:pPr>
              <w:pStyle w:val="Compact"/>
            </w:pPr>
            <w:r>
              <w:t xml:space="preserve">Separation of Duties</w:t>
            </w:r>
          </w:p>
        </w:tc>
        <w:tc>
          <w:tcPr/>
          <w:p>
            <w:pPr>
              <w:pStyle w:val="Compact"/>
            </w:pPr>
            <w:r>
              <w:t xml:space="preserve">Requester, approver, and certifier are distinct roles enforced by the campaign and JML workflows; high-risk lifecycle events require a second-party approval gate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Scheduled user / manager / application-owner / privileged access-certification campaigns with SSOT context; every revocation decision triggers a tracked remediation workflow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M-22-09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IA-4</w:t>
            </w:r>
          </w:p>
        </w:tc>
        <w:tc>
          <w:tcPr/>
          <w:p>
            <w:pPr>
              <w:pStyle w:val="Compact"/>
            </w:pPr>
            <w:r>
              <w:t xml:space="preserve">Identifier Management</w:t>
            </w:r>
          </w:p>
        </w:tc>
        <w:tc>
          <w:tcPr/>
          <w:p>
            <w:pPr>
              <w:pStyle w:val="Compact"/>
            </w:pPr>
            <w:r>
              <w:t xml:space="preserve">Identifiers issued, re-derived, and retired as consequences of the authoritative worker-record lifecycle — no orphaned identifiers because retirement is an HR event, not a hygiene sweep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Authenticator Management</w:t>
            </w:r>
          </w:p>
        </w:tc>
        <w:tc>
          <w:tcPr/>
          <w:p>
            <w:pPr>
              <w:pStyle w:val="Compact"/>
            </w:pPr>
            <w:r>
              <w:t xml:space="preserve">Authenticators disabled on the leaver event within the de-provisioning SLA and re-scoped on mover events, closing the ghost-credential window the request lane alone leaves open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EO 14028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AU-2</w:t>
            </w:r>
          </w:p>
        </w:tc>
        <w:tc>
          <w:tcPr/>
          <w:p>
            <w:pPr>
              <w:pStyle w:val="Compact"/>
            </w:pPr>
            <w:r>
              <w:t xml:space="preserve">Event Logging</w:t>
            </w:r>
          </w:p>
        </w:tc>
        <w:tc>
          <w:tcPr/>
          <w:p>
            <w:pPr>
              <w:pStyle w:val="Compact"/>
            </w:pPr>
            <w:r>
              <w:t xml:space="preserve">Every JML action and certification decision an immutable, audited change record reconciled to the join key and exported OSCAL-compatibly into the attestation loop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M-26-14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6"/>
    <w:bookmarkStart w:id="17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The kit is gated.</w:t>
      </w:r>
      <w:r>
        <w:t xml:space="preserve"> </w:t>
      </w:r>
      <w:r>
        <w:t xml:space="preserve">Until the three Phase 2 gates clear — sub-production</w:t>
      </w:r>
      <w:r>
        <w:t xml:space="preserve"> </w:t>
      </w:r>
      <w:r>
        <w:t xml:space="preserve">foundation kits with green ATF, an implemented Vol I Book 04 SSOT, and a</w:t>
      </w:r>
      <w:r>
        <w:t xml:space="preserve"> </w:t>
      </w:r>
      <w:r>
        <w:t xml:space="preserve">signed-off requirements v1.0 — this book is a contract and a design shape,</w:t>
      </w:r>
      <w:r>
        <w:t xml:space="preserve"> </w:t>
      </w:r>
      <w:r>
        <w:t xml:space="preserve">not shippable Flows. Nothing here should be procured against before the</w:t>
      </w:r>
      <w:r>
        <w:t xml:space="preserve"> </w:t>
      </w:r>
      <w:r>
        <w:t xml:space="preserve">sign-off.</w:t>
      </w:r>
    </w:p>
    <w:p>
      <w:pPr>
        <w:pStyle w:val="Compact"/>
        <w:numPr>
          <w:ilvl w:val="0"/>
          <w:numId w:val="1002"/>
        </w:numPr>
      </w:pPr>
      <w:r>
        <w:t xml:space="preserve">Certification quality is bounded by SSOT quality: a campaign with stale</w:t>
      </w:r>
      <w:r>
        <w:t xml:space="preserve"> </w:t>
      </w:r>
      <w:r>
        <w:t xml:space="preserve">manager chains produces confident wrong answers. The Vol I Book 04</w:t>
      </w:r>
      <w:r>
        <w:t xml:space="preserve"> </w:t>
      </w:r>
      <w:r>
        <w:t xml:space="preserve">reliability gate exists precisely for this reason.</w:t>
      </w:r>
    </w:p>
    <w:p>
      <w:pPr>
        <w:pStyle w:val="Compact"/>
        <w:numPr>
          <w:ilvl w:val="0"/>
          <w:numId w:val="1002"/>
        </w:numPr>
      </w:pPr>
      <w:r>
        <w:t xml:space="preserve">Bulk certification decisions are efficient and dangerous in equal measure;</w:t>
      </w:r>
      <w:r>
        <w:t xml:space="preserve"> </w:t>
      </w:r>
      <w:r>
        <w:t xml:space="preserve">the audit trail records who bulk-approved what, and privileged-access</w:t>
      </w:r>
      <w:r>
        <w:t xml:space="preserve"> </w:t>
      </w:r>
      <w:r>
        <w:t xml:space="preserve">campaigns exclude bulk approval entirely.</w:t>
      </w:r>
    </w:p>
    <w:p>
      <w:pPr>
        <w:pStyle w:val="Compact"/>
        <w:numPr>
          <w:ilvl w:val="0"/>
          <w:numId w:val="1002"/>
        </w:numPr>
      </w:pPr>
      <w:r>
        <w:t xml:space="preserve">The mover event is the hard case — re-derivation plus residual review, not</w:t>
      </w:r>
      <w:r>
        <w:t xml:space="preserve"> </w:t>
      </w:r>
      <w:r>
        <w:t xml:space="preserve">a fresh grant — and the SLA that matters most is the leaver’s.</w:t>
      </w:r>
    </w:p>
    <w:bookmarkEnd w:id="17"/>
    <w:bookmarkStart w:id="18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 Book 04 (HRIT Identity &amp; Org SSOT)</w:t>
      </w:r>
      <w:r>
        <w:t xml:space="preserve"> </w:t>
      </w:r>
      <w:r>
        <w:t xml:space="preserve">— the truth plane every lane in</w:t>
      </w:r>
      <w:r>
        <w:t xml:space="preserve"> </w:t>
      </w:r>
      <w:r>
        <w:t xml:space="preserve">this book consumes; its AC-2/PS-5 closures are the necessity argument this</w:t>
      </w:r>
      <w:r>
        <w:t xml:space="preserve"> </w:t>
      </w:r>
      <w:r>
        <w:t xml:space="preserve">book operationalizes.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IX Book 01 (Helpdesk &amp; ITSM Catalog)</w:t>
      </w:r>
      <w:r>
        <w:t xml:space="preserve"> </w:t>
      </w:r>
      <w:r>
        <w:t xml:space="preserve">— the request lane this book</w:t>
      </w:r>
      <w:r>
        <w:t xml:space="preserve"> </w:t>
      </w:r>
      <w:r>
        <w:t xml:space="preserve">governs above; JML</w:t>
      </w:r>
      <w:r>
        <w:t xml:space="preserve"> </w:t>
      </w:r>
      <w:r>
        <w:rPr>
          <w:i/>
          <w:iCs/>
        </w:rPr>
        <w:t xml:space="preserve">requests</w:t>
      </w:r>
      <w:r>
        <w:t xml:space="preserve"> </w:t>
      </w:r>
      <w:r>
        <w:t xml:space="preserve">stay there, JML</w:t>
      </w:r>
      <w:r>
        <w:t xml:space="preserve"> </w:t>
      </w:r>
      <w:r>
        <w:rPr>
          <w:i/>
          <w:iCs/>
        </w:rPr>
        <w:t xml:space="preserve">events</w:t>
      </w:r>
      <w:r>
        <w:t xml:space="preserve"> </w:t>
      </w:r>
      <w:r>
        <w:t xml:space="preserve">live here.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IX Book 03 (App Registration Governance)</w:t>
      </w:r>
      <w:r>
        <w:t xml:space="preserve"> </w:t>
      </w:r>
      <w:r>
        <w:t xml:space="preserve">— the machine-identity</w:t>
      </w:r>
      <w:r>
        <w:t xml:space="preserve"> </w:t>
      </w:r>
      <w:r>
        <w:t xml:space="preserve">mirror of this lifecycle; its attestation cadence is the workload analogue</w:t>
      </w:r>
      <w:r>
        <w:t xml:space="preserve"> </w:t>
      </w:r>
      <w:r>
        <w:t xml:space="preserve">of a certification campaign.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VII Book 04 (Control Attestation &amp; Evidence)</w:t>
      </w:r>
      <w:r>
        <w:t xml:space="preserve"> </w:t>
      </w:r>
      <w:r>
        <w:t xml:space="preserve">— where the evidence</w:t>
      </w:r>
      <w:r>
        <w:t xml:space="preserve"> </w:t>
      </w:r>
      <w:r>
        <w:t xml:space="preserve">feed lands (CA-2/CA-7) and becomes the FedRAMP 20x KSI submission.</w:t>
      </w:r>
    </w:p>
    <w:bookmarkEnd w:id="18"/>
    <w:bookmarkStart w:id="19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The series home decided here (Vol IX Book 06, per the kit-expansion</w:t>
      </w:r>
      <w:r>
        <w:t xml:space="preserve"> </w:t>
      </w:r>
      <w:r>
        <w:t xml:space="preserve">roadmap’s Phase 2) and the control contract registered in</w:t>
      </w:r>
      <w:r>
        <w:t xml:space="preserve"> </w:t>
      </w:r>
      <w:r>
        <w:rPr>
          <w:rStyle w:val="VerbatimChar"/>
        </w:rPr>
        <w:t xml:space="preserve">federal-compliance-compliance-spine.yml</w:t>
      </w:r>
      <w:r>
        <w:t xml:space="preserve"> </w:t>
      </w:r>
      <w:r>
        <w:t xml:space="preserve">are the authoritative artifacts; the underlying</w:t>
      </w:r>
      <w:r>
        <w:t xml:space="preserve"> </w:t>
      </w:r>
      <w:r>
        <w:t xml:space="preserve">requirements document remains</w:t>
      </w:r>
      <w:r>
        <w:t xml:space="preserve"> </w:t>
      </w:r>
      <w:r>
        <w:rPr>
          <w:b/>
          <w:bCs/>
        </w:rPr>
        <w:t xml:space="preserve">Draft v0.9</w:t>
      </w:r>
      <w:r>
        <w:t xml:space="preserve"> </w:t>
      </w:r>
      <w:r>
        <w:t xml:space="preserve">pending CSI/OIS sign-off. The</w:t>
      </w:r>
      <w:r>
        <w:t xml:space="preserve"> </w:t>
      </w:r>
      <w:r>
        <w:t xml:space="preserve">figure above is authored as committed house-style SVG, rendered to PNG at 3×</w:t>
      </w:r>
      <w:r>
        <w:t xml:space="preserve"> </w:t>
      </w:r>
      <w:r>
        <w:t xml:space="preserve">for crisp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zoom. This book’s own DOCX/PPTX derivatives follow on the</w:t>
      </w:r>
      <w:r>
        <w:t xml:space="preserve"> </w:t>
      </w:r>
      <w:r>
        <w:t xml:space="preserve">next authoring pass.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IX Book 06 — Federal Compliance — Identity &amp; Access Governance</dc:title>
  <dc:creator>Federal Cloud Services</dc:creator>
  <cp:keywords/>
  <dcterms:created xsi:type="dcterms:W3CDTF">2026-10-19T10:10:05Z</dcterms:created>
  <dcterms:modified xsi:type="dcterms:W3CDTF">2026-10-19T10:10:05Z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date">
    <vt:lpwstr>2026-07-21 18:46 ET</vt:lpwstr>
  </property>
  <property fmtid="{D5CDD505-2E9C-101B-9397-08002B2CF9AE}" pid="7" name="date-format">
    <vt:lpwstr>YYYY-MM-DD HH:mm [ET]</vt:lpwstr>
  </property>
  <property fmtid="{D5CDD505-2E9C-101B-9397-08002B2CF9AE}" pid="8" name="execute">
    <vt:lpwstr/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out-width">
    <vt:lpwstr>100%</vt:lpwstr>
  </property>
  <property fmtid="{D5CDD505-2E9C-101B-9397-08002B2CF9AE}" pid="14" name="subtitle">
    <vt:lpwstr>JML automation from the HRIT Org SSOT, access-certification campaigns, and the IAM evidence feed — the governance layer over the day-2 request lane (Kit Expansion Phase 2)</vt:lpwstr>
  </property>
  <property fmtid="{D5CDD505-2E9C-101B-9397-08002B2CF9AE}" pid="15" name="toc-title">
    <vt:lpwstr>Table of contents</vt:lpwstr>
  </property>
</Properties>
</file>