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 Book 00 — Federal Compliance — Volume I Overview: Foundation &amp; Transport</w:t>
      </w:r>
    </w:p>
    <w:p>
      <w:pPr>
        <w:pStyle w:val="Subtitle"/>
      </w:pPr>
      <w:r>
        <w:t xml:space="preserve">Volume Purpose — the naming, identity, and transport substrate every other volume depends on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1. Volume Purpose</w:t>
      </w:r>
    </w:p>
    <w:p>
      <w:pPr>
        <w:pStyle w:val="FirstParagraph"/>
      </w:pPr>
      <w:r>
        <w:rPr>
          <w:b/>
          <w:bCs/>
        </w:rPr>
        <w:t xml:space="preserve">Volume I establishes the substrate every other volume depends on.</w:t>
      </w:r>
      <w:r>
        <w:t xml:space="preserve"> </w:t>
      </w:r>
      <w:r>
        <w:t xml:space="preserve">Before a</w:t>
      </w:r>
      <w:r>
        <w:t xml:space="preserve"> </w:t>
      </w:r>
      <w:r>
        <w:t xml:space="preserve">control can be scanned, an identity authorized, a workload consolidated, or an</w:t>
      </w:r>
      <w:r>
        <w:t xml:space="preserve"> </w:t>
      </w:r>
      <w:r>
        <w:t xml:space="preserve">authorization package assembled, four things must exist and be authoritative: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naming and addressing plane</w:t>
      </w:r>
      <w:r>
        <w:t xml:space="preserve"> </w:t>
      </w:r>
      <w:r>
        <w:t xml:space="preserve">(DNS, DHCP, IPAM, certificate issuance), a</w:t>
      </w:r>
      <w:r>
        <w:t xml:space="preserve"> </w:t>
      </w:r>
      <w:r>
        <w:rPr>
          <w:b/>
          <w:bCs/>
        </w:rPr>
        <w:t xml:space="preserve">device and cryptographic identity plane</w:t>
      </w:r>
      <w:r>
        <w:t xml:space="preserve">, an</w:t>
      </w:r>
      <w:r>
        <w:t xml:space="preserve"> </w:t>
      </w:r>
      <w:r>
        <w:rPr>
          <w:b/>
          <w:bCs/>
        </w:rPr>
        <w:t xml:space="preserve">organizational identity source</w:t>
      </w:r>
      <w:r>
        <w:rPr>
          <w:b/>
          <w:bCs/>
        </w:rPr>
        <w:t xml:space="preserve"> </w:t>
      </w:r>
      <w:r>
        <w:rPr>
          <w:b/>
          <w:bCs/>
        </w:rPr>
        <w:t xml:space="preserve">of truth</w:t>
      </w:r>
      <w:r>
        <w:t xml:space="preserve">, and an</w:t>
      </w:r>
      <w:r>
        <w:t xml:space="preserve"> </w:t>
      </w:r>
      <w:r>
        <w:rPr>
          <w:b/>
          <w:bCs/>
        </w:rPr>
        <w:t xml:space="preserve">encrypted, governed transport</w:t>
      </w:r>
      <w:r>
        <w:t xml:space="preserve"> </w:t>
      </w:r>
      <w:r>
        <w:t xml:space="preserve">between sites and clouds.</w:t>
      </w:r>
      <w:r>
        <w:t xml:space="preserve"> </w:t>
      </w:r>
      <w:r>
        <w:t xml:space="preserve">This volume builds them.</w:t>
      </w:r>
    </w:p>
    <w:p>
      <w:pPr>
        <w:pStyle w:val="BodyText"/>
      </w:pPr>
      <w:r>
        <w:t xml:space="preserve">In the series’ Functional Plane Model (Vol 0 Book 00, Executive Summary), Volume</w:t>
      </w:r>
      <w:r>
        <w:t xml:space="preserve"> </w:t>
      </w:r>
      <w:r>
        <w:t xml:space="preserve">I is where the</w:t>
      </w:r>
      <w:r>
        <w:t xml:space="preserve"> </w:t>
      </w:r>
      <w:r>
        <w:rPr>
          <w:b/>
          <w:bCs/>
        </w:rPr>
        <w:t xml:space="preserve">truth planes</w:t>
      </w:r>
      <w:r>
        <w:t xml:space="preserve"> </w:t>
      </w:r>
      <w:r>
        <w:t xml:space="preserve">— naming/addressing and identity — are</w:t>
      </w:r>
      <w:r>
        <w:t xml:space="preserve"> </w:t>
      </w:r>
      <w:r>
        <w:t xml:space="preserve">established, together with the</w:t>
      </w:r>
      <w:r>
        <w:t xml:space="preserve"> </w:t>
      </w:r>
      <w:r>
        <w:rPr>
          <w:b/>
          <w:bCs/>
        </w:rPr>
        <w:t xml:space="preserve">transport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customer-owned edge</w:t>
      </w:r>
      <w:r>
        <w:rPr>
          <w:b/>
          <w:bCs/>
        </w:rPr>
        <w:t xml:space="preserve"> </w:t>
      </w:r>
      <w:r>
        <w:rPr>
          <w:b/>
          <w:bCs/>
        </w:rPr>
        <w:t xml:space="preserve">enforcement</w:t>
      </w:r>
      <w:r>
        <w:t xml:space="preserve"> </w:t>
      </w:r>
      <w:r>
        <w:t xml:space="preserve">that carry and protect everything above. The volume’s governing</w:t>
      </w:r>
      <w:r>
        <w:t xml:space="preserve"> </w:t>
      </w:r>
      <w:r>
        <w:t xml:space="preserve">claim is the series’ Closure Necessity doctrine at its foundation:</w:t>
      </w:r>
      <w:r>
        <w:t xml:space="preserve"> </w:t>
      </w:r>
      <w:r>
        <w:rPr>
          <w:i/>
          <w:iCs/>
        </w:rPr>
        <w:t xml:space="preserve">you cannot</w:t>
      </w:r>
      <w:r>
        <w:rPr>
          <w:i/>
          <w:iCs/>
        </w:rPr>
        <w:t xml:space="preserve"> </w:t>
      </w:r>
      <w:r>
        <w:rPr>
          <w:i/>
          <w:iCs/>
        </w:rPr>
        <w:t xml:space="preserve">inventory what you cannot name, authorize what you cannot identify, or encrypt a</w:t>
      </w:r>
      <w:r>
        <w:rPr>
          <w:i/>
          <w:iCs/>
        </w:rPr>
        <w:t xml:space="preserve"> </w:t>
      </w:r>
      <w:r>
        <w:rPr>
          <w:i/>
          <w:iCs/>
        </w:rPr>
        <w:t xml:space="preserve">circuit that has no overlay.</w:t>
      </w:r>
      <w:r>
        <w:t xml:space="preserve"> </w:t>
      </w:r>
      <w:r>
        <w:t xml:space="preserve">Remove Volume I and the controls claimed in</w:t>
      </w:r>
      <w:r>
        <w:t xml:space="preserve"> </w:t>
      </w:r>
      <w:r>
        <w:t xml:space="preserve">Volumes II–IV do not degrade — they become unevaluable.</w:t>
      </w:r>
    </w:p>
    <w:bookmarkEnd w:id="10"/>
    <w:bookmarkStart w:id="11" w:name="books-in-this-volume"/>
    <w:p>
      <w:pPr>
        <w:pStyle w:val="Heading1"/>
      </w:pPr>
      <w:r>
        <w:t xml:space="preserve">2. Books in This Volume</w:t>
      </w:r>
    </w:p>
    <w:p>
      <w:pPr>
        <w:pStyle w:val="TableCaption"/>
      </w:pPr>
      <w:r>
        <w:t xml:space="preserve">Volume I — Foundation &amp; Transport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I — Foundation &amp; Transport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01</w:t>
            </w:r>
          </w:p>
        </w:tc>
        <w:tc>
          <w:tcPr/>
          <w:p>
            <w:pPr>
              <w:pStyle w:val="Compact"/>
            </w:pPr>
            <w:r>
              <w:t xml:space="preserve">Cloud Landing Zone, IPAM/DDI, FedRAMP</w:t>
            </w:r>
          </w:p>
        </w:tc>
        <w:tc>
          <w:tcPr/>
          <w:p>
            <w:pPr>
              <w:pStyle w:val="Compact"/>
            </w:pPr>
            <w:r>
              <w:t xml:space="preserve">The authoritative naming/addressing plane — the CM-8 asset-identity</w:t>
            </w:r>
            <w:r>
              <w:t xml:space="preserve"> </w:t>
            </w:r>
            <w:r>
              <w:rPr>
                <w:b/>
                <w:bCs/>
              </w:rPr>
              <w:t xml:space="preserve">join key</w:t>
            </w:r>
            <w:r>
              <w:t xml:space="preserve"> </w:t>
            </w:r>
            <w:r>
              <w:t xml:space="preserve">the whole program correlates 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02</w:t>
            </w:r>
          </w:p>
        </w:tc>
        <w:tc>
          <w:tcPr/>
          <w:p>
            <w:pPr>
              <w:pStyle w:val="Compact"/>
            </w:pPr>
            <w:r>
              <w:t xml:space="preserve">Network Access Control (802.1X)</w:t>
            </w:r>
          </w:p>
        </w:tc>
        <w:tc>
          <w:tcPr/>
          <w:p>
            <w:pPr>
              <w:pStyle w:val="Compact"/>
            </w:pPr>
            <w:r>
              <w:t xml:space="preserve">Device identity at the physical port (IA-3) — what is connected, proven at the wire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03</w:t>
            </w:r>
          </w:p>
        </w:tc>
        <w:tc>
          <w:tcPr/>
          <w:p>
            <w:pPr>
              <w:pStyle w:val="Compact"/>
            </w:pPr>
            <w:r>
              <w:t xml:space="preserve">Certificates &amp; Tokens</w:t>
            </w:r>
          </w:p>
        </w:tc>
        <w:tc>
          <w:tcPr/>
          <w:p>
            <w:pPr>
              <w:pStyle w:val="Compact"/>
            </w:pPr>
            <w:r>
              <w:t xml:space="preserve">Cryptographic identity for users, devices, and workloads — path-independent, session-less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04</w:t>
            </w:r>
          </w:p>
        </w:tc>
        <w:tc>
          <w:tcPr/>
          <w:p>
            <w:pPr>
              <w:pStyle w:val="Compact"/>
            </w:pPr>
            <w:r>
              <w:t xml:space="preserve">HRIT Identity &amp; Org SSOT</w:t>
            </w:r>
          </w:p>
        </w:tc>
        <w:tc>
          <w:tcPr/>
          <w:p>
            <w:pPr>
              <w:pStyle w:val="Compact"/>
            </w:pPr>
            <w:r>
              <w:t xml:space="preserve">The human/organizational source of truth every account and access decision asserts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05</w:t>
            </w:r>
          </w:p>
        </w:tc>
        <w:tc>
          <w:tcPr/>
          <w:p>
            <w:pPr>
              <w:pStyle w:val="Compact"/>
            </w:pPr>
            <w:r>
              <w:t xml:space="preserve">Network Modernization</w:t>
            </w:r>
          </w:p>
        </w:tc>
        <w:tc>
          <w:tcPr/>
          <w:p>
            <w:pPr>
              <w:pStyle w:val="Compact"/>
            </w:pPr>
            <w:r>
              <w:t xml:space="preserve">Entra ID, ZTNA, and Drift Reconciliation — session-to-token identity modernization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06</w:t>
            </w:r>
          </w:p>
        </w:tc>
        <w:tc>
          <w:tcPr/>
          <w:p>
            <w:pPr>
              <w:pStyle w:val="Compact"/>
            </w:pPr>
            <w:r>
              <w:t xml:space="preserve">Federal Telecommunications Modernization</w:t>
            </w:r>
          </w:p>
        </w:tc>
        <w:tc>
          <w:tcPr/>
          <w:p>
            <w:pPr>
              <w:pStyle w:val="Compact"/>
            </w:pPr>
            <w:r>
              <w:t xml:space="preserve">SD-WAN + SASE under TIC 3.0 — encrypted, application-aware transport (the</w:t>
            </w:r>
            <w:r>
              <w:t xml:space="preserve"> </w:t>
            </w:r>
            <w:r>
              <w:t xml:space="preserve">“DIA is a pipe”</w:t>
            </w:r>
            <w:r>
              <w:t xml:space="preserve"> </w:t>
            </w:r>
            <w:r>
              <w:t xml:space="preserve">doctrine)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 Book 07</w:t>
            </w:r>
          </w:p>
        </w:tc>
        <w:tc>
          <w:tcPr/>
          <w:p>
            <w:pPr>
              <w:pStyle w:val="Compact"/>
            </w:pPr>
            <w:r>
              <w:t xml:space="preserve">Network Enforcement Substrate</w:t>
            </w:r>
          </w:p>
        </w:tc>
        <w:tc>
          <w:tcPr/>
          <w:p>
            <w:pPr>
              <w:pStyle w:val="Compact"/>
            </w:pPr>
            <w:r>
              <w:t xml:space="preserve">Cisco / Palo Alto / Juniper at the customer edge, accredited via NIAP / DISA STIG / FIPS 140-3 / DoDIN APL</w:t>
            </w:r>
          </w:p>
        </w:tc>
      </w:tr>
    </w:tbl>
    <w:bookmarkEnd w:id="11"/>
    <w:bookmarkStart w:id="12" w:name="how-this-volume-fits-the-program"/>
    <w:p>
      <w:pPr>
        <w:pStyle w:val="Heading1"/>
      </w:pPr>
      <w:r>
        <w:t xml:space="preserve">3. How This Volume Fits the Program</w:t>
      </w:r>
    </w:p>
    <w:p>
      <w:pPr>
        <w:pStyle w:val="FirstParagraph"/>
      </w:pPr>
      <w:r>
        <w:t xml:space="preserve">Volume I feeds everything downstream. The</w:t>
      </w:r>
      <w:r>
        <w:t xml:space="preserve"> </w:t>
      </w:r>
      <w:r>
        <w:rPr>
          <w:b/>
          <w:bCs/>
        </w:rPr>
        <w:t xml:space="preserve">naming-plane join key</w:t>
      </w:r>
      <w:r>
        <w:t xml:space="preserve"> </w:t>
      </w:r>
      <w:r>
        <w:t xml:space="preserve">(Vol I Book</w:t>
      </w:r>
      <w:r>
        <w:t xml:space="preserve"> </w:t>
      </w:r>
      <w:r>
        <w:t xml:space="preserve">01) is what lets the Multi-Cloud Evidence Fabric (Vol III Book 07) correlate five</w:t>
      </w:r>
      <w:r>
        <w:t xml:space="preserve"> </w:t>
      </w:r>
      <w:r>
        <w:t xml:space="preserve">management stacks into one compliance picture; the</w:t>
      </w:r>
      <w:r>
        <w:t xml:space="preserve"> </w:t>
      </w:r>
      <w:r>
        <w:rPr>
          <w:b/>
          <w:bCs/>
        </w:rPr>
        <w:t xml:space="preserve">identity SSOT</w:t>
      </w:r>
      <w:r>
        <w:t xml:space="preserve"> </w:t>
      </w:r>
      <w:r>
        <w:t xml:space="preserve">(Vol I Book</w:t>
      </w:r>
      <w:r>
        <w:t xml:space="preserve"> </w:t>
      </w:r>
      <w:r>
        <w:t xml:space="preserve">04) is what SailPoint and every access decision sit</w:t>
      </w:r>
      <w:r>
        <w:t xml:space="preserve"> </w:t>
      </w:r>
      <w:r>
        <w:rPr>
          <w:i/>
          <w:iCs/>
        </w:rPr>
        <w:t xml:space="preserve">on</w:t>
      </w:r>
      <w:r>
        <w:t xml:space="preserve">; the</w:t>
      </w:r>
      <w:r>
        <w:t xml:space="preserve"> </w:t>
      </w:r>
      <w:r>
        <w:rPr>
          <w:b/>
          <w:bCs/>
        </w:rPr>
        <w:t xml:space="preserve">cryptographic</w:t>
      </w:r>
      <w:r>
        <w:rPr>
          <w:b/>
          <w:bCs/>
        </w:rPr>
        <w:t xml:space="preserve"> </w:t>
      </w:r>
      <w:r>
        <w:rPr>
          <w:b/>
          <w:bCs/>
        </w:rPr>
        <w:t xml:space="preserve">identity</w:t>
      </w:r>
      <w:r>
        <w:t xml:space="preserve"> </w:t>
      </w:r>
      <w:r>
        <w:t xml:space="preserve">(Vol I Book 03) is applied to the database tier in Volume II; and the</w:t>
      </w:r>
      <w:r>
        <w:t xml:space="preserve"> </w:t>
      </w:r>
      <w:r>
        <w:rPr>
          <w:b/>
          <w:bCs/>
        </w:rPr>
        <w:t xml:space="preserve">transport + edge enforcement</w:t>
      </w:r>
      <w:r>
        <w:t xml:space="preserve"> </w:t>
      </w:r>
      <w:r>
        <w:t xml:space="preserve">(Vol I Books 06–07) are where the customer-owned</w:t>
      </w:r>
      <w:r>
        <w:t xml:space="preserve"> </w:t>
      </w:r>
      <w:r>
        <w:t xml:space="preserve">half of SC-7/SC-8 is closed — the half no CSP’s FedRAMP authorization covers.</w:t>
      </w:r>
      <w:r>
        <w:t xml:space="preserve"> </w:t>
      </w:r>
      <w:r>
        <w:t xml:space="preserve">Volume I is the floor; the rest of the series is built on it.</w:t>
      </w:r>
    </w:p>
    <w:bookmarkEnd w:id="12"/>
    <w:bookmarkStart w:id="14" w:name="X8370e8c548a65b81ec17d9ad6cc210ed489b073"/>
    <w:p>
      <w:pPr>
        <w:pStyle w:val="Heading1"/>
      </w:pPr>
      <w:r>
        <w:t xml:space="preserve">4.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 Book 00 — Federal Compliance — Volume I Overview: Foundation &amp; Transport</dc:title>
  <dc:creator>Federal Cloud Services</dc:creator>
  <cp:keywords/>
  <dcterms:created xsi:type="dcterms:W3CDTF">2026-10-19T10:10:05Z</dcterms:created>
  <dcterms:modified xsi:type="dcterms:W3CDTF">2026-10-19T10:10:05Z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Volume Purpose — the naming, identity, and transport substrate every other volume depends on</vt:lpwstr>
  </property>
  <property fmtid="{D5CDD505-2E9C-101B-9397-08002B2CF9AE}" pid="16" name="toc-title">
    <vt:lpwstr>Table of contents</vt:lpwstr>
  </property>
</Properties>
</file>