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02 — Federal Compliance — Network Access Control: 802.1X and Device Identity</w:t>
      </w:r>
    </w:p>
    <w:p>
      <w:pPr>
        <w:pStyle w:val="Subtitle"/>
      </w:pPr>
      <w:r>
        <w:t xml:space="preserve">802.1X, EAP-TLS, and Device Identity Enforcement at the Port</w:t>
      </w:r>
    </w:p>
    <w:p>
      <w:pPr>
        <w:pStyle w:val="Author"/>
      </w:pPr>
      <w:r>
        <w:t xml:space="preserve">Federal Cloud Services</w:t>
      </w:r>
    </w:p>
    <w:p>
      <w:pPr>
        <w:pStyle w:val="Date"/>
      </w:pPr>
      <w:r>
        <w:t xml:space="preserve">2026-07-15 10:26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2026-07-15 06:26 ET</w:t>
      </w:r>
    </w:p>
    <w:bookmarkEnd w:id="9"/>
    <w:p>
      <w:pPr>
        <w:pStyle w:val="BodyText"/>
      </w:pPr>
      <w:r>
        <w:rPr>
          <w:b/>
          <w:bCs/>
        </w:rPr>
        <w:t xml:space="preserve">Series Context</w:t>
      </w:r>
      <w:r>
        <w:t xml:space="preserve"> </w:t>
      </w:r>
      <w:r>
        <w:t xml:space="preserve">— This document is Vol I Book 02 of the Federal Compliance series. Vol I Book 01 (Cloud Landing Zone, IPAM/DDI) establishes the cloud landing zone and the authoritative naming and addressing plane — IPAM, DHCP, DNS, and certificate issuance (DDI/PKI). This part lays the device identity substrate directly on top of that plane: before any certificate is trusted, any token is minted, or any application flow is authorized, the network must be able to answer the question</w:t>
      </w:r>
      <w:r>
        <w:t xml:space="preserve"> </w:t>
      </w:r>
      <w:r>
        <w:rPr>
          <w:i/>
          <w:iCs/>
        </w:rPr>
        <w:t xml:space="preserve">what is physically connected to this port?</w:t>
      </w:r>
      <w:r>
        <w:t xml:space="preserve"> </w:t>
      </w:r>
      <w:r>
        <w:t xml:space="preserve">Vol I Book 03 (Certificates &amp; Tokens) builds the cryptographic identity plane on this substrate, and every subsequent part — network modernization, telecommunications, database consolidation, privileged access, telemetry, and the authorization package — depends on the answer being enforced at the wire.</w:t>
      </w:r>
    </w:p>
    <w:bookmarkStart w:id="10" w:name="what-this-document-addresses"/>
    <w:p>
      <w:pPr>
        <w:pStyle w:val="Heading1"/>
      </w:pPr>
      <w:r>
        <w:t xml:space="preserve">1. What This Document Addresses</w:t>
      </w:r>
    </w:p>
    <w:p>
      <w:pPr>
        <w:pStyle w:val="FirstParagraph"/>
      </w:pPr>
      <w:r>
        <w:t xml:space="preserve">Vol I Book 01 of this series established the naming and addressing plane: every device that joins the network receives an address from an authoritative DHCP service, a name in an authoritative DNS zone, and a record in an authoritative IPAM database. That plane can</w:t>
      </w:r>
      <w:r>
        <w:t xml:space="preserve"> </w:t>
      </w:r>
      <w:r>
        <w:rPr>
          <w:i/>
          <w:iCs/>
        </w:rPr>
        <w:t xml:space="preserve">observe</w:t>
      </w:r>
      <w:r>
        <w:t xml:space="preserve"> </w:t>
      </w:r>
      <w:r>
        <w:t xml:space="preserve">and</w:t>
      </w:r>
      <w:r>
        <w:t xml:space="preserve"> </w:t>
      </w:r>
      <w:r>
        <w:rPr>
          <w:i/>
          <w:iCs/>
        </w:rPr>
        <w:t xml:space="preserve">record</w:t>
      </w:r>
      <w:r>
        <w:t xml:space="preserve"> </w:t>
      </w:r>
      <w:r>
        <w:t xml:space="preserve">every device — but observation is not authentication. The naming and addressing plane, by itself, cannot decide whether the device should have been admitted at all.</w:t>
      </w:r>
    </w:p>
    <w:p>
      <w:pPr>
        <w:pStyle w:val="BodyText"/>
      </w:pPr>
      <w:r>
        <w:t xml:space="preserve">No control laid above it answers the simpler question either:</w:t>
      </w:r>
      <w:r>
        <w:t xml:space="preserve"> </w:t>
      </w:r>
      <w:r>
        <w:rPr>
          <w:i/>
          <w:iCs/>
        </w:rPr>
        <w:t xml:space="preserve">what is physically plugged into this network port?</w:t>
      </w:r>
    </w:p>
    <w:p>
      <w:pPr>
        <w:pStyle w:val="BodyText"/>
      </w:pPr>
      <w:r>
        <w:t xml:space="preserve">A threat actor with physical access to a conference room, a decommissioned office wing, or an unmonitored wiring closet can connect an unauthorized device to the Agency network and begin reconnaissance, lateral movement, or data exfiltration without presenting any user identity at all. Every identity control the rest of this series builds — the certificate and token plane of Vol I Book 03, the application authentication modernization of Vol II Books 01–02 (SQL Server Authentication and Implementation), the privileged access controls of Vol III Book 01 (Privileged Access Management) — is downstream of network admission. Those controls are effective only after a device has already been granted connectivity; built on unauthenticated ports, they are built on an unverified floor.</w:t>
      </w:r>
    </w:p>
    <w:p>
      <w:pPr>
        <w:pStyle w:val="BodyText"/>
      </w:pPr>
      <w:r>
        <w:t xml:space="preserve">Network Access Control (NAC) with 802.1X port-based authentication addresses this at the wire. Before a device receives an IP address and network routing, it must present a cryptographically valid machine certificate to a RADIUS server that can verify the device’s identity against the Entra ID device inventory. If the certificate is absent, expired, or does not correspond to an enrolled managed device, the port is placed into a quarantine VLAN with no access to Agency resources.</w:t>
      </w:r>
    </w:p>
    <w:p>
      <w:pPr>
        <w:pStyle w:val="BodyText"/>
      </w:pPr>
      <w:r>
        <w:t xml:space="preserve">This document covers the architecture, certificate provisioning pipeline, RADIUS design, policy tier structure, InfoBlox integration, Sentinel logging, and phased implementation for 802.1X NAC across the Agency GCC Moderate boundary. It closes the</w:t>
      </w:r>
      <w:r>
        <w:t xml:space="preserve"> </w:t>
      </w:r>
      <w:r>
        <w:rPr>
          <w:b/>
          <w:bCs/>
        </w:rPr>
        <w:t xml:space="preserve">IA-3</w:t>
      </w:r>
      <w:r>
        <w:t xml:space="preserve"> </w:t>
      </w:r>
      <w:r>
        <w:t xml:space="preserve">(Device Identification and Authentication) control family at the only layer where it can be closed — the point of network admission — and lays the</w:t>
      </w:r>
      <w:r>
        <w:t xml:space="preserve"> </w:t>
      </w:r>
      <w:r>
        <w:rPr>
          <w:b/>
          <w:bCs/>
        </w:rPr>
        <w:t xml:space="preserve">SC-7</w:t>
      </w:r>
      <w:r>
        <w:t xml:space="preserve"> </w:t>
      </w:r>
      <w:r>
        <w:t xml:space="preserve">(Boundary Protection) and</w:t>
      </w:r>
      <w:r>
        <w:t xml:space="preserve"> </w:t>
      </w:r>
      <w:r>
        <w:rPr>
          <w:b/>
          <w:bCs/>
        </w:rPr>
        <w:t xml:space="preserve">CM-8</w:t>
      </w:r>
      <w:r>
        <w:t xml:space="preserve"> </w:t>
      </w:r>
      <w:r>
        <w:t xml:space="preserve">(System Component Inventory) foundations that the books that follow across Volumes I–IV extend upward through certificates, applications, telemetry, and the authorization package.</w:t>
      </w:r>
    </w:p>
    <w:p>
      <w:pPr>
        <w:pStyle w:val="BodyText"/>
      </w:pPr>
      <w:r>
        <w:rPr>
          <w:b/>
          <w:bCs/>
        </w:rPr>
        <w:t xml:space="preserve">Device Identity vs. User Identity</w:t>
      </w:r>
      <w:r>
        <w:t xml:space="preserve"> </w:t>
      </w:r>
      <w:r>
        <w:t xml:space="preserve">— NAC and 802.1X operate at the</w:t>
      </w:r>
      <w:r>
        <w:t xml:space="preserve"> </w:t>
      </w:r>
      <w:r>
        <w:rPr>
          <w:i/>
          <w:iCs/>
        </w:rPr>
        <w:t xml:space="preserve">device</w:t>
      </w:r>
      <w:r>
        <w:t xml:space="preserve"> </w:t>
      </w:r>
      <w:r>
        <w:t xml:space="preserve">layer, prior to any user authentication event. A device that fails 802.1X admission is quarantined regardless of the user credential that would subsequently be presented. This is a complementary, not redundant, control: Zero Trust requires verifying both</w:t>
      </w:r>
      <w:r>
        <w:t xml:space="preserve"> </w:t>
      </w:r>
      <w:r>
        <w:rPr>
          <w:i/>
          <w:iCs/>
        </w:rPr>
        <w:t xml:space="preserve">who is the user</w:t>
      </w:r>
      <w:r>
        <w:t xml:space="preserve"> </w:t>
      </w:r>
      <w:r>
        <w:t xml:space="preserve">and</w:t>
      </w:r>
      <w:r>
        <w:t xml:space="preserve"> </w:t>
      </w:r>
      <w:r>
        <w:rPr>
          <w:i/>
          <w:iCs/>
        </w:rPr>
        <w:t xml:space="preserve">what is the device</w:t>
      </w:r>
      <w:r>
        <w:t xml:space="preserve">, independently.</w:t>
      </w:r>
    </w:p>
    <w:bookmarkEnd w:id="10"/>
    <w:bookmarkStart w:id="14" w:name="the-device-identity-gap"/>
    <w:p>
      <w:pPr>
        <w:pStyle w:val="Heading1"/>
      </w:pPr>
      <w:r>
        <w:t xml:space="preserve">2. The Device Identity Gap</w:t>
      </w:r>
    </w:p>
    <w:bookmarkStart w:id="11" w:name="why-user-identity-alone-is-insufficient"/>
    <w:p>
      <w:pPr>
        <w:pStyle w:val="Heading2"/>
      </w:pPr>
      <w:r>
        <w:t xml:space="preserve">2.1 Why User Identity Alone Is Insufficient</w:t>
      </w:r>
    </w:p>
    <w:p>
      <w:pPr>
        <w:pStyle w:val="FirstParagraph"/>
      </w:pPr>
      <w:r>
        <w:t xml:space="preserve">The Compliance series thesis is:</w:t>
      </w:r>
      <w:r>
        <w:t xml:space="preserve"> </w:t>
      </w:r>
      <w:r>
        <w:rPr>
          <w:i/>
          <w:iCs/>
        </w:rPr>
        <w:t xml:space="preserve">Physics constrains, token liberates.</w:t>
      </w:r>
      <w:r>
        <w:t xml:space="preserve"> </w:t>
      </w:r>
      <w:r>
        <w:t xml:space="preserve">The parts that follow this one implement the token side — Vol I Book 03 mints the cryptographic identities, and Vol I Book 05 through Vol III Book 01 bind transport, applications, and privileged access to them, until every user and service identity assertion is backed by a cryptographic token. But a token is presented by a device, and the integrity of the token depends on the integrity of the device presenting it. That is why the device identity substrate is laid</w:t>
      </w:r>
      <w:r>
        <w:t xml:space="preserve"> </w:t>
      </w:r>
      <w:r>
        <w:rPr>
          <w:i/>
          <w:iCs/>
        </w:rPr>
        <w:t xml:space="preserve">now</w:t>
      </w:r>
      <w:r>
        <w:t xml:space="preserve">, immediately after the naming and addressing plane, rather than at the end.</w:t>
      </w:r>
    </w:p>
    <w:p>
      <w:pPr>
        <w:pStyle w:val="BodyText"/>
      </w:pPr>
      <w:r>
        <w:t xml:space="preserve">Consider the following two scenarios in the completed architecture this series builds:</w:t>
      </w:r>
    </w:p>
    <w:p>
      <w:pPr>
        <w:pStyle w:val="BodyText"/>
      </w:pPr>
      <w:r>
        <w:rPr>
          <w:b/>
          <w:bCs/>
        </w:rPr>
        <w:t xml:space="preserve">Scenario A — Credential theft on a managed device.</w:t>
      </w:r>
      <w:r>
        <w:t xml:space="preserve"> </w:t>
      </w:r>
      <w:r>
        <w:t xml:space="preserve">An attacker phishes a user’s FIDO2 hardware key and clones the credential. The attacker can now present a valid Entra ID token. Conditional Access evaluates device compliance — the token is presented from the attacker’s unmanaged laptop, which fails the</w:t>
      </w:r>
      <w:r>
        <w:t xml:space="preserve"> </w:t>
      </w:r>
      <w:r>
        <w:rPr>
          <w:rStyle w:val="VerbatimChar"/>
        </w:rPr>
        <w:t xml:space="preserve">compliant</w:t>
      </w:r>
      <w:r>
        <w:t xml:space="preserve"> </w:t>
      </w:r>
      <w:r>
        <w:t xml:space="preserve">device filter. Access is denied. The user identity control and the device compliance check together stop the attack.</w:t>
      </w:r>
    </w:p>
    <w:p>
      <w:pPr>
        <w:pStyle w:val="BodyText"/>
      </w:pPr>
      <w:r>
        <w:rPr>
          <w:b/>
          <w:bCs/>
        </w:rPr>
        <w:t xml:space="preserve">Scenario B — Physical port access on an uncontrolled network.</w:t>
      </w:r>
      <w:r>
        <w:t xml:space="preserve"> </w:t>
      </w:r>
      <w:r>
        <w:t xml:space="preserve">An attacker connects a laptop to a wired jack in an Agency conference room. Without NAC, the switch port assigns a DHCP lease and routes traffic immediately. The attacker now has Layer 3 connectivity to Agency internal resources — without presenting any user credential at all. All user identity controls are irrelevant until the attacker chooses to attempt authentication. The window for passive reconnaissance, ARP poisoning, DNS poisoning, and lateral movement scanning is open from the moment the cable is plugged in.</w:t>
      </w:r>
    </w:p>
    <w:p>
      <w:pPr>
        <w:pStyle w:val="BodyText"/>
      </w:pPr>
      <w:r>
        <w:t xml:space="preserve">NAC closes Scenario B at the port level. The attacker’s laptop presents no machine certificate, 802.1X authentication fails, and the port is placed in the quarantine VLAN. The attacker has Layer 3 connectivity to the quarantine segment only — no routing to Agency resources, no DNS resolution for internal names.</w:t>
      </w:r>
    </w:p>
    <w:bookmarkEnd w:id="11"/>
    <w:bookmarkStart w:id="12" w:name="the-federal-physical-access-reality"/>
    <w:p>
      <w:pPr>
        <w:pStyle w:val="Heading2"/>
      </w:pPr>
      <w:r>
        <w:t xml:space="preserve">2.2 The Federal Physical Access Reality</w:t>
      </w:r>
    </w:p>
    <w:p>
      <w:pPr>
        <w:pStyle w:val="FirstParagraph"/>
      </w:pPr>
      <w:r>
        <w:t xml:space="preserve">Federal facilities operate under physical access controls — PIV badge readers, mantrap entries, visitor escort requirements. These controls are strong at building perimeters but are not equivalent to network port authentication:</w:t>
      </w:r>
    </w:p>
    <w:p>
      <w:pPr>
        <w:pStyle w:val="Compact"/>
        <w:numPr>
          <w:ilvl w:val="0"/>
          <w:numId w:val="1001"/>
        </w:numPr>
      </w:pPr>
      <w:r>
        <w:rPr>
          <w:b/>
          <w:bCs/>
        </w:rPr>
        <w:t xml:space="preserve">Conference rooms</w:t>
      </w:r>
      <w:r>
        <w:t xml:space="preserve"> </w:t>
      </w:r>
      <w:r>
        <w:t xml:space="preserve">are routinely accessible to vendors, contractors, and visitors with valid facility badges who do not have Agency IT authorization.</w:t>
      </w:r>
    </w:p>
    <w:p>
      <w:pPr>
        <w:pStyle w:val="Compact"/>
        <w:numPr>
          <w:ilvl w:val="0"/>
          <w:numId w:val="1001"/>
        </w:numPr>
      </w:pPr>
      <w:r>
        <w:rPr>
          <w:b/>
          <w:bCs/>
        </w:rPr>
        <w:t xml:space="preserve">Wiring closets</w:t>
      </w:r>
      <w:r>
        <w:t xml:space="preserve"> </w:t>
      </w:r>
      <w:r>
        <w:t xml:space="preserve">in older federal buildings frequently lack electronic access control distinct from the floor-level badge reader.</w:t>
      </w:r>
    </w:p>
    <w:p>
      <w:pPr>
        <w:pStyle w:val="Compact"/>
        <w:numPr>
          <w:ilvl w:val="0"/>
          <w:numId w:val="1001"/>
        </w:numPr>
      </w:pPr>
      <w:r>
        <w:rPr>
          <w:b/>
          <w:bCs/>
        </w:rPr>
        <w:t xml:space="preserve">Decommissioned office areas</w:t>
      </w:r>
      <w:r>
        <w:t xml:space="preserve"> </w:t>
      </w:r>
      <w:r>
        <w:t xml:space="preserve">retain live switch ports until physical decommissioning is completed — often weeks to months after occupancy ends.</w:t>
      </w:r>
    </w:p>
    <w:p>
      <w:pPr>
        <w:pStyle w:val="Compact"/>
        <w:numPr>
          <w:ilvl w:val="0"/>
          <w:numId w:val="1001"/>
        </w:numPr>
      </w:pPr>
      <w:r>
        <w:rPr>
          <w:b/>
          <w:bCs/>
        </w:rPr>
        <w:t xml:space="preserve">Hoteling workstations</w:t>
      </w:r>
      <w:r>
        <w:t xml:space="preserve"> </w:t>
      </w:r>
      <w:r>
        <w:t xml:space="preserve">in hot-desk environments have live ports by design, and the physical occupant changes daily.</w:t>
      </w:r>
    </w:p>
    <w:p>
      <w:pPr>
        <w:pStyle w:val="Compact"/>
        <w:numPr>
          <w:ilvl w:val="0"/>
          <w:numId w:val="1001"/>
        </w:numPr>
      </w:pPr>
      <w:r>
        <w:rPr>
          <w:b/>
          <w:bCs/>
        </w:rPr>
        <w:t xml:space="preserve">IoT and OT devices</w:t>
      </w:r>
      <w:r>
        <w:t xml:space="preserve"> </w:t>
      </w:r>
      <w:r>
        <w:t xml:space="preserve">(printers, badge readers, HVAC controllers, video conferencing endpoints) connect to the same switch fabric as workstations and servers in many federal deployments.</w:t>
      </w:r>
    </w:p>
    <w:p>
      <w:pPr>
        <w:pStyle w:val="FirstParagraph"/>
      </w:pPr>
      <w:r>
        <w:t xml:space="preserve">Each of these is a live network connection with no authentication gate. NAC with 802.1X makes the authentication gate the switch port itself — independent of the physical access regime.</w:t>
      </w:r>
    </w:p>
    <w:p>
      <w:pPr>
        <w:pStyle w:val="BodyText"/>
      </w:pPr>
      <w:r>
        <w:t xml:space="preserve">} IT authorization. Wiring closets: older federal buildings often lack electronic access control distinct from the floor-level badge reader. Decommissioned areas: live switch ports persist weeks to months after occupancy ends. Hoteling workstations: hot-desk ports are live by design with a different physical occupant daily. IoT/OT devices: printers, badge readers, HVAC, and video endpoints share the same switch fabric as workstations and servers. Banner: each is a live network connection with no authentication gate — NAC makes the gate the switch port itself, independent of the physical access regime. White background. Source: Vol I Book 02 NAC briefing deck, Date Code 2026-07-07 10:15 ET.” width=</w:t>
      </w:r>
      <w:r>
        <w:t xml:space="preserve">“100%”</w:t>
      </w:r>
      <w:r>
        <w:t xml:space="preserve">}</w:t>
      </w:r>
    </w:p>
    <w:bookmarkEnd w:id="12"/>
    <w:bookmarkStart w:id="13" w:name="Xf9e6daf1b34bf021916e30a128f36862b57d1d2"/>
    <w:p>
      <w:pPr>
        <w:pStyle w:val="Heading2"/>
      </w:pPr>
      <w:r>
        <w:t xml:space="preserve">2.3 Before and After: The Structural Comparison</w:t>
      </w:r>
    </w:p>
    <w:p>
      <w:pPr>
        <w:pStyle w:val="FirstParagraph"/>
      </w:pPr>
      <w:r>
        <w:t xml:space="preserve">} resources with no authentication gate. Right panel labeled AFTER shows the same laptop initiating 802.1X EAP exchange with the switch acting as authenticator, forwarding the EAP-TLS exchange to a RADIUS server, which validates the machine certificate against Entra ID device inventory, and the switch placing the port into the appropriate VLAN — compliant, non-compliant, or quarantine — before any IP address is issued to a routable segment.” width=</w:t>
      </w:r>
      <w:r>
        <w:t xml:space="preserve">“100%”</w:t>
      </w:r>
      <w:r>
        <w:t xml:space="preserve">}</w:t>
      </w:r>
    </w:p>
    <w:p>
      <w:pPr>
        <w:pStyle w:val="BodyText"/>
      </w:pPr>
      <w:r>
        <w:rPr>
          <w:b/>
          <w:bCs/>
        </w:rPr>
        <w:t xml:space="preserve">Before this document</w:t>
      </w:r>
      <w:r>
        <w:t xml:space="preserve"> </w:t>
      </w:r>
      <w:r>
        <w:t xml:space="preserve">— a device connecting to any Agency switch port in a managed facility receives network access determined solely by VLAN configuration on the port. No device identity assertion is required. Physical access to the facility is the only gate.</w:t>
      </w:r>
    </w:p>
    <w:p>
      <w:pPr>
        <w:pStyle w:val="BodyText"/>
      </w:pPr>
      <w:r>
        <w:rPr>
          <w:b/>
          <w:bCs/>
        </w:rPr>
        <w:t xml:space="preserve">After this document</w:t>
      </w:r>
      <w:r>
        <w:t xml:space="preserve"> </w:t>
      </w:r>
      <w:r>
        <w:t xml:space="preserve">— every switch port and wireless access point requires a valid machine certificate issued to an Entra-enrolled device. Devices that cannot present a valid certificate are placed in a quarantine VLAN. Devices that present a valid certificate from a non-compliant device (patch compliance failure, AV disabled) are placed in a remediation VLAN. Only devices that are enrolled, compliant, and certificate-valid receive access to the production VLAN.</w:t>
      </w:r>
    </w:p>
    <w:bookmarkEnd w:id="13"/>
    <w:bookmarkEnd w:id="14"/>
    <w:bookmarkStart w:id="15" w:name="the-voice-vlan-precedent"/>
    <w:p>
      <w:pPr>
        <w:pStyle w:val="Heading1"/>
      </w:pPr>
      <w:r>
        <w:t xml:space="preserve">3. The Voice VLAN Precedent</w:t>
      </w:r>
    </w:p>
    <w:p>
      <w:pPr>
        <w:pStyle w:val="FirstParagraph"/>
      </w:pPr>
      <w:r>
        <w:t xml:space="preserve">Network Access Control did not begin with 802.1X. It began, in production networks, with a telephone.</w:t>
      </w:r>
    </w:p>
    <w:p>
      <w:pPr>
        <w:pStyle w:val="BodyText"/>
      </w:pPr>
      <w:r>
        <w:t xml:space="preserve">When IP telephony arrived in the late 1990s — before IEEE 802.1X-2001 was ratified, and years before supplicant software was broadly deployable — every desk deployment faced the same problem NAC solves today: two very different device classes, a phone and a workstation, sharing the same wall jack, requiring different network segments, different QoS treatment, and different access scope. The mechanism that solved it was not an authentication protocol. It was DHCP. A phone booting on the data VLAN sent a DHCP request that declared its device class — the vendor class identifier in option 60, and a characteristic pattern of requested options. The DHCP server recognized the class and answered with vendor-specific options carrying the voice VLAN ID and the address of the configuration server. The phone released its data-VLAN lease, re-tagged its traffic onto the voice VLAN, and requested a new address there. The switch never authenticated anything; the</w:t>
      </w:r>
      <w:r>
        <w:t xml:space="preserve"> </w:t>
      </w:r>
      <w:r>
        <w:rPr>
          <w:i/>
          <w:iCs/>
        </w:rPr>
        <w:t xml:space="preserve">naming and addressing plane</w:t>
      </w:r>
      <w:r>
        <w:t xml:space="preserve"> </w:t>
      </w:r>
      <w:r>
        <w:t xml:space="preserve">identified the device and the network differentiated its admission accordingly.</w:t>
      </w:r>
    </w:p>
    <w:p>
      <w:pPr>
        <w:pStyle w:val="BodyText"/>
      </w:pPr>
      <w:r>
        <w:t xml:space="preserve">This is the structural precedent for everything in this document. Voice VLAN steering was the earliest production case of the pattern NAC generalizes: a device asserts an identity, an authoritative service classifies it, and the network assigns it a segment scoped to its function — before the device touches any production resource. Every element of the modern NAC policy tier structure is visible in embryo: device classification (option 60 fingerprint), differentiated VLAN assignment (voice vs. data), and function-scoped access (the phone reaches call control, not file shares). The DHCP server was acting as a policy decision point a decade before that term entered the architecture vocabulary.</w:t>
      </w:r>
    </w:p>
    <w:p>
      <w:pPr>
        <w:pStyle w:val="BodyText"/>
      </w:pPr>
      <w:r>
        <w:t xml:space="preserve">The precedent also carried a structural weakness, and naming it precisely is what motivates the rest of this document:</w:t>
      </w:r>
      <w:r>
        <w:t xml:space="preserve"> </w:t>
      </w:r>
      <w:r>
        <w:rPr>
          <w:b/>
          <w:bCs/>
        </w:rPr>
        <w:t xml:space="preserve">DHCP option-based steering is identity by assertion, not by proof.</w:t>
      </w:r>
      <w:r>
        <w:t xml:space="preserve"> </w:t>
      </w:r>
      <w:r>
        <w:t xml:space="preserve">Any device can transmit a phone’s vendor class identifier; nothing in the exchange is cryptographically verified. That is acceptable for QoS steering, where the worst case of a false claim is mis-prioritized traffic. It is not acceptable for access control, where the worst case is an unauthorized device in a production segment. 802.1X with EAP-TLS replaces the assertion with a proof — a machine certificate whose private key never leaves the device — while the assertion-based lineage survives, deliberately and in a constrained role, in two places later in this document: MAC Authentication Bypass for devices that cannot run a supplicant, and DHCP fingerprinting as the classification and anomaly-detection signal that the IPAM layer feeds back into the NAC decision. The naming and addressing plane asserted device identity first; the identity plane this book builds makes the assertion provable.</w:t>
      </w:r>
    </w:p>
    <w:bookmarkEnd w:id="15"/>
    <w:bookmarkStart w:id="20" w:name="X82c6a9b21860f42551bf826059803119df8d347"/>
    <w:p>
      <w:pPr>
        <w:pStyle w:val="Heading1"/>
      </w:pPr>
      <w:r>
        <w:t xml:space="preserve">4. NAC Architecture — RADIUS, 802.1X, and EAP-TLS</w:t>
      </w:r>
    </w:p>
    <w:bookmarkStart w:id="16" w:name="the-authentication-stack"/>
    <w:p>
      <w:pPr>
        <w:pStyle w:val="Heading2"/>
      </w:pPr>
      <w:r>
        <w:t xml:space="preserve">4.1 The Authentication Stack</w:t>
      </w:r>
    </w:p>
    <w:p>
      <w:pPr>
        <w:pStyle w:val="FirstParagraph"/>
      </w:pPr>
      <w:r>
        <w:t xml:space="preserve">802.1X Network Access Control is a port-based authentication framework defined in IEEE 802.1X-2020. It introduces three roles to every network admission event:</w:t>
      </w:r>
    </w:p>
    <w:p>
      <w:pPr>
        <w:pStyle w:val="Compact"/>
        <w:numPr>
          <w:ilvl w:val="0"/>
          <w:numId w:val="1002"/>
        </w:numPr>
      </w:pPr>
      <w:r>
        <w:rPr>
          <w:b/>
          <w:bCs/>
        </w:rPr>
        <w:t xml:space="preserve">Supplicant</w:t>
      </w:r>
      <w:r>
        <w:t xml:space="preserve"> </w:t>
      </w:r>
      <w:r>
        <w:t xml:space="preserve">— the software on the device requesting network access. On Windows, this is the built-in 802.1X supplicant configured via Intune policy. On Linux,</w:t>
      </w:r>
      <w:r>
        <w:t xml:space="preserve"> </w:t>
      </w:r>
      <w:r>
        <w:rPr>
          <w:rStyle w:val="VerbatimChar"/>
        </w:rPr>
        <w:t xml:space="preserve">wpa_supplicant</w:t>
      </w:r>
      <w:r>
        <w:t xml:space="preserve"> </w:t>
      </w:r>
      <w:r>
        <w:t xml:space="preserve">is the standard. On macOS, the native supplicant is configured through MDM.</w:t>
      </w:r>
    </w:p>
    <w:p>
      <w:pPr>
        <w:pStyle w:val="Compact"/>
        <w:numPr>
          <w:ilvl w:val="0"/>
          <w:numId w:val="1002"/>
        </w:numPr>
      </w:pPr>
      <w:r>
        <w:rPr>
          <w:b/>
          <w:bCs/>
        </w:rPr>
        <w:t xml:space="preserve">Authenticator</w:t>
      </w:r>
      <w:r>
        <w:t xml:space="preserve"> </w:t>
      </w:r>
      <w:r>
        <w:t xml:space="preserve">— the network device that enforces access (a managed switch or wireless access point). The authenticator does not validate credentials itself; it relays the EAP exchange between the supplicant and the authentication server and enforces the VLAN assignment returned by the authentication server.</w:t>
      </w:r>
    </w:p>
    <w:p>
      <w:pPr>
        <w:pStyle w:val="Compact"/>
        <w:numPr>
          <w:ilvl w:val="0"/>
          <w:numId w:val="1002"/>
        </w:numPr>
      </w:pPr>
      <w:r>
        <w:rPr>
          <w:b/>
          <w:bCs/>
        </w:rPr>
        <w:t xml:space="preserve">Authentication Server</w:t>
      </w:r>
      <w:r>
        <w:t xml:space="preserve"> </w:t>
      </w:r>
      <w:r>
        <w:t xml:space="preserve">— the RADIUS server that validates the supplicant’s credentials and returns the access decision (VLAN ID, session timeout, filter rules).</w:t>
      </w:r>
    </w:p>
    <w:p>
      <w:pPr>
        <w:pStyle w:val="FirstParagraph"/>
      </w:pPr>
      <w:r>
        <w:t xml:space="preserve">The exchange protocol between supplicant and authentication server is the Extensible Authentication Protocol (EAP), carried over RADIUS between the authenticator and the authentication server.</w:t>
      </w:r>
    </w:p>
    <w:bookmarkEnd w:id="16"/>
    <w:bookmarkStart w:id="17" w:name="Xe6727c90454fe28f5c795c7f2710efc24477f82"/>
    <w:p>
      <w:pPr>
        <w:pStyle w:val="Heading2"/>
      </w:pPr>
      <w:r>
        <w:t xml:space="preserve">4.2 EAP Method Selection — Why EAP-TLS for Federal</w:t>
      </w:r>
    </w:p>
    <w:p>
      <w:pPr>
        <w:pStyle w:val="FirstParagraph"/>
      </w:pPr>
      <w:r>
        <w:t xml:space="preserve">NIST SP 800-120 (Recommendation for EAP Methods Used in Wireless Network Access Authentication) and NIST SP 800-153 (Guidelines for Securing Wireless Local Area Networks) both recommend EAP-TLS as the strongest EAP method for federal environments. A mutual-certificate, FIPS-approved EAP method is not optional under FedRAMP Moderate — EAP-TLS is recommended, EAP-PEAP/EAP-TLS is acceptable, and the password-based methods below are not:</w:t>
      </w:r>
    </w:p>
    <w:p>
      <w:pPr>
        <w:pStyle w:val="TableCaption"/>
      </w:pPr>
      <w:r>
        <w:t xml:space="preserve">EAP Method Comparison for Federal NAC</w:t>
      </w:r>
    </w:p>
    <w:tbl>
      <w:tblPr>
        <w:tblStyle w:val="Table"/>
        <w:tblW w:type="pct" w:w="5000"/>
        <w:tblLayout w:type="fixed"/>
        <w:tblLook w:firstRow="1" w:lastRow="0" w:firstColumn="0" w:lastColumn="0" w:noHBand="0" w:noVBand="0" w:val="0020"/>
        <w:tblCaption w:val="EAP Method Comparison for Federal NAC"/>
      </w:tblPr>
      <w:tblGrid>
        <w:gridCol w:w="979"/>
        <w:gridCol w:w="898"/>
        <w:gridCol w:w="1551"/>
        <w:gridCol w:w="1551"/>
        <w:gridCol w:w="1224"/>
        <w:gridCol w:w="1714"/>
      </w:tblGrid>
      <w:tr>
        <w:trPr>
          <w:tblHeader w:val="on"/>
        </w:trPr>
        <w:tc>
          <w:tcPr/>
          <w:p>
            <w:pPr>
              <w:pStyle w:val="Compact"/>
            </w:pPr>
            <w:r>
              <w:t xml:space="preserve">EAP Method</w:t>
            </w:r>
          </w:p>
        </w:tc>
        <w:tc>
          <w:tcPr/>
          <w:p>
            <w:pPr>
              <w:pStyle w:val="Compact"/>
            </w:pPr>
            <w:r>
              <w:t xml:space="preserve">Credential</w:t>
            </w:r>
          </w:p>
        </w:tc>
        <w:tc>
          <w:tcPr/>
          <w:p>
            <w:pPr>
              <w:pStyle w:val="Compact"/>
            </w:pPr>
            <w:r>
              <w:t xml:space="preserve">Server Certificate</w:t>
            </w:r>
          </w:p>
        </w:tc>
        <w:tc>
          <w:tcPr/>
          <w:p>
            <w:pPr>
              <w:pStyle w:val="Compact"/>
            </w:pPr>
            <w:r>
              <w:t xml:space="preserve">Client Certificate</w:t>
            </w:r>
          </w:p>
        </w:tc>
        <w:tc>
          <w:tcPr/>
          <w:p>
            <w:pPr>
              <w:pStyle w:val="Compact"/>
            </w:pPr>
            <w:r>
              <w:t xml:space="preserve">FIPS Approved</w:t>
            </w:r>
          </w:p>
        </w:tc>
        <w:tc>
          <w:tcPr/>
          <w:p>
            <w:pPr>
              <w:pStyle w:val="Compact"/>
            </w:pPr>
            <w:r>
              <w:t xml:space="preserve">Federal Suitability</w:t>
            </w:r>
          </w:p>
        </w:tc>
      </w:tr>
      <w:tr>
        <w:tc>
          <w:tcPr/>
          <w:p>
            <w:pPr>
              <w:pStyle w:val="Compact"/>
            </w:pPr>
            <w:r>
              <w:t xml:space="preserve">EAP-PEAP/MSCHAPv2</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 (MSCHAPv2)</w:t>
            </w:r>
          </w:p>
        </w:tc>
        <w:tc>
          <w:tcPr/>
          <w:p>
            <w:pPr>
              <w:pStyle w:val="Compact"/>
            </w:pPr>
            <w:r>
              <w:t xml:space="preserve">Not acceptable — NTLM derivative</w:t>
            </w:r>
          </w:p>
        </w:tc>
      </w:tr>
      <w:tr>
        <w:tc>
          <w:tcPr/>
          <w:p>
            <w:pPr>
              <w:pStyle w:val="Compact"/>
            </w:pPr>
            <w:r>
              <w:t xml:space="preserve">EAP-TTLS/PAP</w:t>
            </w:r>
          </w:p>
        </w:tc>
        <w:tc>
          <w:tcPr/>
          <w:p>
            <w:pPr>
              <w:pStyle w:val="Compact"/>
            </w:pPr>
            <w:r>
              <w:t xml:space="preserve">Password</w:t>
            </w:r>
          </w:p>
        </w:tc>
        <w:tc>
          <w:tcPr/>
          <w:p>
            <w:pPr>
              <w:pStyle w:val="Compact"/>
            </w:pPr>
            <w:r>
              <w:t xml:space="preserve">Required</w:t>
            </w:r>
          </w:p>
        </w:tc>
        <w:tc>
          <w:tcPr/>
          <w:p>
            <w:pPr>
              <w:pStyle w:val="Compact"/>
            </w:pPr>
            <w:r>
              <w:t xml:space="preserve">Not required</w:t>
            </w:r>
          </w:p>
        </w:tc>
        <w:tc>
          <w:tcPr/>
          <w:p>
            <w:pPr>
              <w:pStyle w:val="Compact"/>
            </w:pPr>
            <w:r>
              <w:t xml:space="preserve">No</w:t>
            </w:r>
          </w:p>
        </w:tc>
        <w:tc>
          <w:tcPr/>
          <w:p>
            <w:pPr>
              <w:pStyle w:val="Compact"/>
            </w:pPr>
            <w:r>
              <w:t xml:space="preserve">Not acceptable — plaintext credential in tunnel</w:t>
            </w:r>
          </w:p>
        </w:tc>
      </w:tr>
      <w:tr>
        <w:tc>
          <w:tcPr/>
          <w:p>
            <w:pPr>
              <w:pStyle w:val="Compact"/>
            </w:pPr>
            <w:r>
              <w:t xml:space="preserve">EAP-PEAP/EAP-TLS</w:t>
            </w:r>
          </w:p>
        </w:tc>
        <w:tc>
          <w:tcPr/>
          <w:p>
            <w:pPr>
              <w:pStyle w:val="Compact"/>
            </w:pPr>
            <w:r>
              <w:t xml:space="preserve">Certificate</w:t>
            </w:r>
          </w:p>
        </w:tc>
        <w:tc>
          <w:tcPr/>
          <w:p>
            <w:pPr>
              <w:pStyle w:val="Compact"/>
            </w:pPr>
            <w:r>
              <w:t xml:space="preserve">Required</w:t>
            </w:r>
          </w:p>
        </w:tc>
        <w:tc>
          <w:tcPr/>
          <w:p>
            <w:pPr>
              <w:pStyle w:val="Compact"/>
            </w:pPr>
            <w:r>
              <w:t xml:space="preserve">Required</w:t>
            </w:r>
          </w:p>
        </w:tc>
        <w:tc>
          <w:tcPr/>
          <w:p>
            <w:pPr>
              <w:pStyle w:val="Compact"/>
            </w:pPr>
            <w:r>
              <w:t xml:space="preserve">Yes</w:t>
            </w:r>
          </w:p>
        </w:tc>
        <w:tc>
          <w:tcPr/>
          <w:p>
            <w:pPr>
              <w:pStyle w:val="Compact"/>
            </w:pPr>
            <w:r>
              <w:t xml:space="preserve">Acceptable — but EAP-TLS alone is simpler</w:t>
            </w:r>
          </w:p>
        </w:tc>
      </w:tr>
      <w:tr>
        <w:tc>
          <w:tcPr/>
          <w:p>
            <w:pPr>
              <w:pStyle w:val="Compact"/>
            </w:pPr>
            <w:r>
              <w:rPr>
                <w:b/>
                <w:bCs/>
              </w:rPr>
              <w:t xml:space="preserve">EAP-TLS</w:t>
            </w:r>
          </w:p>
        </w:tc>
        <w:tc>
          <w:tcPr/>
          <w:p>
            <w:pPr>
              <w:pStyle w:val="Compact"/>
            </w:pPr>
            <w:r>
              <w:rPr>
                <w:b/>
                <w:bCs/>
              </w:rPr>
              <w:t xml:space="preserve">Certificate</w:t>
            </w:r>
          </w:p>
        </w:tc>
        <w:tc>
          <w:tcPr/>
          <w:p>
            <w:pPr>
              <w:pStyle w:val="Compact"/>
            </w:pPr>
            <w:r>
              <w:rPr>
                <w:b/>
                <w:bCs/>
              </w:rPr>
              <w:t xml:space="preserve">Required</w:t>
            </w:r>
          </w:p>
        </w:tc>
        <w:tc>
          <w:tcPr/>
          <w:p>
            <w:pPr>
              <w:pStyle w:val="Compact"/>
            </w:pPr>
            <w:r>
              <w:rPr>
                <w:b/>
                <w:bCs/>
              </w:rPr>
              <w:t xml:space="preserve">Required</w:t>
            </w:r>
          </w:p>
        </w:tc>
        <w:tc>
          <w:tcPr/>
          <w:p>
            <w:pPr>
              <w:pStyle w:val="Compact"/>
            </w:pPr>
            <w:r>
              <w:rPr>
                <w:b/>
                <w:bCs/>
              </w:rPr>
              <w:t xml:space="preserve">Yes</w:t>
            </w:r>
          </w:p>
        </w:tc>
        <w:tc>
          <w:tcPr/>
          <w:p>
            <w:pPr>
              <w:pStyle w:val="Compact"/>
            </w:pPr>
            <w:r>
              <w:rPr>
                <w:b/>
                <w:bCs/>
              </w:rPr>
              <w:t xml:space="preserve">Recommended — mutual certificate authentication</w:t>
            </w:r>
          </w:p>
        </w:tc>
      </w:tr>
    </w:tbl>
    <w:p>
      <w:pPr>
        <w:pStyle w:val="BodyText"/>
      </w:pPr>
      <w:r>
        <w:t xml:space="preserve">EAP-TLS provides mutual authentication: the RADIUS server presents its certificate to the supplicant (server identity), and the supplicant presents its machine certificate to the RADIUS server (device identity). Both assertions are cryptographically verified. Neither side can be impersonated without access to the private key of the relevant certificate authority.</w:t>
      </w:r>
    </w:p>
    <w:p>
      <w:pPr>
        <w:pStyle w:val="BodyText"/>
      </w:pPr>
      <w:r>
        <w:t xml:space="preserve">This matters structurally: EAP-PEAP/MSCHAPv2, used in many legacy federal wireless deployments, is vulnerable to offline dictionary attacks against captured handshakes and rogue AP attacks (a malicious AP presents a self-signed server certificate that the supplicant accepts due to misconfigured validation). EAP-TLS with strict CA pinning eliminates both attack classes.</w:t>
      </w:r>
    </w:p>
    <w:bookmarkEnd w:id="17"/>
    <w:bookmarkStart w:id="18" w:name="X3de18886d568cb768549bf58e9356d28128105d"/>
    <w:p>
      <w:pPr>
        <w:pStyle w:val="Heading2"/>
      </w:pPr>
      <w:r>
        <w:t xml:space="preserve">4.3 RADIUS Server Design for Federal Environments</w:t>
      </w:r>
    </w:p>
    <w:p>
      <w:pPr>
        <w:pStyle w:val="FirstParagraph"/>
      </w:pPr>
      <w:r>
        <w:t xml:space="preserve">The RADIUS server is the authentication server in the 802.1X architecture. For Agency GCC Moderate, the RADIUS platform choice is governance decision</w:t>
      </w:r>
      <w:r>
        <w:t xml:space="preserve"> </w:t>
      </w:r>
      <w:r>
        <w:rPr>
          <w:b/>
          <w:bCs/>
        </w:rPr>
        <w:t xml:space="preserve">D3 (NPS vs. Cisco ISE vs. Aruba ClearPass)</w:t>
      </w:r>
      <w:r>
        <w:t xml:space="preserve"> </w:t>
      </w:r>
      <w:r>
        <w:t xml:space="preserve">— and D3 is</w:t>
      </w:r>
      <w:r>
        <w:t xml:space="preserve"> </w:t>
      </w:r>
      <w:r>
        <w:rPr>
          <w:b/>
          <w:bCs/>
        </w:rPr>
        <w:t xml:space="preserve">gated by the Entra-migration timeline (Vol I Book 05, Network Modernization), not by preference</w:t>
      </w:r>
      <w:r>
        <w:t xml:space="preserve">. The deciding criterion is Entra-native device authorization:</w:t>
      </w:r>
    </w:p>
    <w:p>
      <w:pPr>
        <w:pStyle w:val="Compact"/>
        <w:numPr>
          <w:ilvl w:val="0"/>
          <w:numId w:val="1003"/>
        </w:numPr>
      </w:pPr>
      <w:r>
        <w:rPr>
          <w:b/>
          <w:bCs/>
        </w:rPr>
        <w:t xml:space="preserve">Microsoft Network Policy Server (NPS)</w:t>
      </w:r>
      <w:r>
        <w:t xml:space="preserve"> </w:t>
      </w:r>
      <w:r>
        <w:t xml:space="preserve">on Windows Server 2025 is viable for the</w:t>
      </w:r>
      <w:r>
        <w:t xml:space="preserve"> </w:t>
      </w:r>
      <w:r>
        <w:rPr>
          <w:b/>
          <w:bCs/>
        </w:rPr>
        <w:t xml:space="preserve">hybrid-joined phase only</w:t>
      </w:r>
      <w:r>
        <w:t xml:space="preserve">. NPS authorizes a device by resolving its Active Directory computer object; it has no supported path for authorizing cloud-native Entra-joined devices — Microsoft provides no cloud NPS equivalent, and the community workaround (dummy AD computer objects) is unsustainable at fleet scale. NPS works against today’s estate precisely because the estate is hybrid-joined and AD objects still exist.</w:t>
      </w:r>
      <w:r>
        <w:t xml:space="preserve"> </w:t>
      </w:r>
      <w:r>
        <w:rPr>
          <w:b/>
          <w:bCs/>
        </w:rPr>
        <w:t xml:space="preserve">Its viability degrades in direct proportion to Vol I Book 05’s AD-to-Entra migration progress.</w:t>
      </w:r>
    </w:p>
    <w:p>
      <w:pPr>
        <w:pStyle w:val="Compact"/>
        <w:numPr>
          <w:ilvl w:val="0"/>
          <w:numId w:val="1003"/>
        </w:numPr>
      </w:pPr>
      <w:r>
        <w:rPr>
          <w:b/>
          <w:bCs/>
        </w:rPr>
        <w:t xml:space="preserve">Cisco Identity Services Engine (ISE)</w:t>
      </w:r>
      <w:r>
        <w:t xml:space="preserve"> </w:t>
      </w:r>
      <w:r>
        <w:t xml:space="preserve">and</w:t>
      </w:r>
      <w:r>
        <w:t xml:space="preserve"> </w:t>
      </w:r>
      <w:r>
        <w:rPr>
          <w:b/>
          <w:bCs/>
        </w:rPr>
        <w:t xml:space="preserve">Aruba ClearPass</w:t>
      </w:r>
      <w:r>
        <w:t xml:space="preserve"> </w:t>
      </w:r>
      <w:r>
        <w:t xml:space="preserve">— the dominant federal alternatives — both terminate EAP-TLS and authorize against the Entra ID / Intune device inventory without requiring an AD computer object. Either closes the Entra-native gap.</w:t>
      </w:r>
    </w:p>
    <w:p>
      <w:pPr>
        <w:pStyle w:val="FirstParagraph"/>
      </w:pPr>
      <w:r>
        <w:t xml:space="preserve">The sequencing requirement, stated plainly:</w:t>
      </w:r>
      <w:r>
        <w:t xml:space="preserve"> </w:t>
      </w:r>
      <w:r>
        <w:rPr>
          <w:b/>
          <w:bCs/>
        </w:rPr>
        <w:t xml:space="preserve">D3 must select a platform that authorizes Entra-native devices before Vol I Book 05’s cloud-native cutover retires the AD objects NPS depends on.</w:t>
      </w:r>
      <w:r>
        <w:t xml:space="preserve"> </w:t>
      </w:r>
      <w:r>
        <w:t xml:space="preserve">An agency may deploy NPS now for the hybrid phase — the NPS configuration in this document is written for that phase — but the D3 decision record must carry the migration trigger rather than treat NPS as the end state.</w:t>
      </w:r>
    </w:p>
    <w:p>
      <w:pPr>
        <w:pStyle w:val="BodyText"/>
      </w:pPr>
      <w:r>
        <w:t xml:space="preserve">Cloud-issued device certificates are provisioned via</w:t>
      </w:r>
      <w:r>
        <w:t xml:space="preserve"> </w:t>
      </w:r>
      <w:r>
        <w:rPr>
          <w:b/>
          <w:bCs/>
        </w:rPr>
        <w:t xml:space="preserve">Microsoft Cloud PKI</w:t>
      </w:r>
      <w:r>
        <w:t xml:space="preserve"> </w:t>
      </w:r>
      <w:r>
        <w:t xml:space="preserve">(an Intune add-on, licensed via Intune Suite or standalone)</w:t>
      </w:r>
      <w:r>
        <w:t xml:space="preserve"> </w:t>
      </w:r>
      <w:r>
        <w:rPr>
          <w:b/>
          <w:bCs/>
        </w:rPr>
        <w:t xml:space="preserve">or Intune SCEP against the agency’s AD CS</w:t>
      </w:r>
      <w:r>
        <w:t xml:space="preserve"> </w:t>
      </w:r>
      <w:r>
        <w:t xml:space="preserve">— the certificate infrastructure section below covers both paths.</w:t>
      </w:r>
    </w:p>
    <w:p>
      <w:pPr>
        <w:pStyle w:val="BodyText"/>
      </w:pPr>
      <w:r>
        <w:rPr>
          <w:b/>
          <w:bCs/>
        </w:rPr>
        <w:t xml:space="preserve">NPS High Availability</w:t>
      </w:r>
      <w:r>
        <w:t xml:space="preserve"> </w:t>
      </w:r>
      <w:r>
        <w:t xml:space="preserve">— NPS does not natively replicate configuration between nodes. The standard approach for federal environments is:</w:t>
      </w:r>
    </w:p>
    <w:p>
      <w:pPr>
        <w:pStyle w:val="Compact"/>
        <w:numPr>
          <w:ilvl w:val="0"/>
          <w:numId w:val="1004"/>
        </w:numPr>
      </w:pPr>
      <w:r>
        <w:t xml:space="preserve">Deploy two NPS servers in the same region.</w:t>
      </w:r>
    </w:p>
    <w:p>
      <w:pPr>
        <w:pStyle w:val="Compact"/>
        <w:numPr>
          <w:ilvl w:val="0"/>
          <w:numId w:val="1004"/>
        </w:numPr>
      </w:pPr>
      <w:r>
        <w:t xml:space="preserve">Configure all RADIUS clients (switches, WAPs) with both servers, primary and secondary, with a 3-second failover timeout.</w:t>
      </w:r>
    </w:p>
    <w:p>
      <w:pPr>
        <w:pStyle w:val="Compact"/>
        <w:numPr>
          <w:ilvl w:val="0"/>
          <w:numId w:val="1004"/>
        </w:numPr>
      </w:pPr>
      <w:r>
        <w:t xml:space="preserve">Use a shared NPS configuration export/import script (or Group Policy) to keep policy synchronized.</w:t>
      </w:r>
    </w:p>
    <w:p>
      <w:pPr>
        <w:pStyle w:val="Compact"/>
        <w:numPr>
          <w:ilvl w:val="0"/>
          <w:numId w:val="1004"/>
        </w:numPr>
      </w:pPr>
      <w:r>
        <w:t xml:space="preserve">Monitor NPS availability with a Sentinel heartbeat alert (absence of RADIUS accounting events for &gt; 5 minutes from a production authenticator triggers a P2 alert).</w:t>
      </w:r>
    </w:p>
    <w:p>
      <w:pPr>
        <w:pStyle w:val="FirstParagraph"/>
      </w:pPr>
      <w:r>
        <w:rPr>
          <w:b/>
          <w:bCs/>
        </w:rPr>
        <w:t xml:space="preserve">RADIUS Shared Secrets</w:t>
      </w:r>
      <w:r>
        <w:t xml:space="preserve"> </w:t>
      </w:r>
      <w:r>
        <w:t xml:space="preserve">— Each authenticator (switch, WAP) requires a shared secret with the RADIUS server. For federal environments:</w:t>
      </w:r>
    </w:p>
    <w:p>
      <w:pPr>
        <w:pStyle w:val="Compact"/>
        <w:numPr>
          <w:ilvl w:val="0"/>
          <w:numId w:val="1005"/>
        </w:numPr>
      </w:pPr>
      <w:r>
        <w:t xml:space="preserve">Generate secrets with 32+ characters of cryptographic randomness.</w:t>
      </w:r>
    </w:p>
    <w:p>
      <w:pPr>
        <w:pStyle w:val="Compact"/>
        <w:numPr>
          <w:ilvl w:val="0"/>
          <w:numId w:val="1005"/>
        </w:numPr>
      </w:pPr>
      <w:r>
        <w:t xml:space="preserve">Store secrets in Azure Key Vault and rotate on a 180-day schedule.</w:t>
      </w:r>
    </w:p>
    <w:p>
      <w:pPr>
        <w:pStyle w:val="Compact"/>
        <w:numPr>
          <w:ilvl w:val="0"/>
          <w:numId w:val="1005"/>
        </w:numPr>
      </w:pPr>
      <w:r>
        <w:t xml:space="preserve">Use RADIUS over TLS (RadSec, RFC 6614) where the switch/WAP firmware supports it — this replaces the shared secret model with mutual TLS between authenticator and authentication server, eliminating the weakest link in the RADIUS trust chain.</w:t>
      </w:r>
    </w:p>
    <w:bookmarkEnd w:id="18"/>
    <w:bookmarkStart w:id="19" w:name="x-port-configuration"/>
    <w:p>
      <w:pPr>
        <w:pStyle w:val="Heading2"/>
      </w:pPr>
      <w:r>
        <w:t xml:space="preserve">4.4 802.1X Port Configuration</w:t>
      </w:r>
    </w:p>
    <w:p>
      <w:pPr>
        <w:pStyle w:val="FirstParagraph"/>
      </w:pPr>
      <w:r>
        <w:t xml:space="preserve">Every managed switch port that faces an end-device (not an uplink or trunk) is configured for 802.1X authentication. The configuration specifies three possible outcomes:</w:t>
      </w:r>
    </w:p>
    <w:p>
      <w:pPr>
        <w:pStyle w:val="SourceCode"/>
      </w:pPr>
      <w:r>
        <w:rPr>
          <w:rStyle w:val="VerbatimChar"/>
        </w:rPr>
        <w:t xml:space="preserve"># Cisco IOS-XE example — port facing endpoint</w:t>
      </w:r>
      <w:r>
        <w:br/>
      </w:r>
      <w:r>
        <w:rPr>
          <w:rStyle w:val="VerbatimChar"/>
        </w:rPr>
        <w:t xml:space="preserve">interface GigabitEthernet1/0/1</w:t>
      </w:r>
      <w:r>
        <w:br/>
      </w:r>
      <w:r>
        <w:rPr>
          <w:rStyle w:val="VerbatimChar"/>
        </w:rPr>
        <w:t xml:space="preserve"> switchport mode access</w:t>
      </w:r>
      <w:r>
        <w:br/>
      </w:r>
      <w:r>
        <w:rPr>
          <w:rStyle w:val="VerbatimChar"/>
        </w:rPr>
        <w:t xml:space="preserve"> switchport access vlan 10          ! fallback only -- 802.1X overrides</w:t>
      </w:r>
      <w:r>
        <w:br/>
      </w:r>
      <w:r>
        <w:rPr>
          <w:rStyle w:val="VerbatimChar"/>
        </w:rPr>
        <w:t xml:space="preserve"> authentication port-control auto   ! enable 802.1X</w:t>
      </w:r>
      <w:r>
        <w:br/>
      </w:r>
      <w:r>
        <w:rPr>
          <w:rStyle w:val="VerbatimChar"/>
        </w:rPr>
        <w:t xml:space="preserve"> authentication host-mode multi-auth! allow phone + PC on same port</w:t>
      </w:r>
      <w:r>
        <w:br/>
      </w:r>
      <w:r>
        <w:rPr>
          <w:rStyle w:val="VerbatimChar"/>
        </w:rPr>
        <w:t xml:space="preserve"> authentication order dot1x mab     ! try 802.1X first, then MAB</w:t>
      </w:r>
      <w:r>
        <w:br/>
      </w:r>
      <w:r>
        <w:rPr>
          <w:rStyle w:val="VerbatimChar"/>
        </w:rPr>
        <w:t xml:space="preserve"> authentication priority dot1x mab  ! 802.1X always wins if both present</w:t>
      </w:r>
      <w:r>
        <w:br/>
      </w:r>
      <w:r>
        <w:rPr>
          <w:rStyle w:val="VerbatimChar"/>
        </w:rPr>
        <w:t xml:space="preserve"> dot1x pae authenticator</w:t>
      </w:r>
      <w:r>
        <w:br/>
      </w:r>
      <w:r>
        <w:rPr>
          <w:rStyle w:val="VerbatimChar"/>
        </w:rPr>
        <w:t xml:space="preserve"> dot1x timeout tx-period 10</w:t>
      </w:r>
      <w:r>
        <w:br/>
      </w:r>
      <w:r>
        <w:rPr>
          <w:rStyle w:val="VerbatimChar"/>
        </w:rPr>
        <w:t xml:space="preserve"> dot1x max-reauth-req 3</w:t>
      </w:r>
      <w:r>
        <w:br/>
      </w:r>
      <w:r>
        <w:rPr>
          <w:rStyle w:val="VerbatimChar"/>
        </w:rPr>
        <w:t xml:space="preserve"> spanning-tree portfast</w:t>
      </w:r>
      <w:r>
        <w:br/>
      </w:r>
      <w:r>
        <w:rPr>
          <w:rStyle w:val="VerbatimChar"/>
        </w:rPr>
        <w:t xml:space="preserve"> ip dhcp snooping limit rate 15</w:t>
      </w:r>
    </w:p>
    <w:p>
      <w:pPr>
        <w:pStyle w:val="FirstParagraph"/>
      </w:pPr>
      <w:r>
        <w:t xml:space="preserve">The</w:t>
      </w:r>
      <w:r>
        <w:t xml:space="preserve"> </w:t>
      </w:r>
      <w:r>
        <w:rPr>
          <w:rStyle w:val="VerbatimChar"/>
        </w:rPr>
        <w:t xml:space="preserve">authentication order dot1x mab</w:t>
      </w:r>
      <w:r>
        <w:t xml:space="preserve"> </w:t>
      </w:r>
      <w:r>
        <w:t xml:space="preserve">line implements the fallback sequence: the port attempts 802.1X first (30-second window for a supplicant to respond). If no 802.1X supplicant responds, the port falls back to MAC Authentication Bypass (MAB) for devices that cannot participate in 802.1X (printers, IP phones, badge readers). MAB is covered in Section 6.</w:t>
      </w:r>
    </w:p>
    <w:bookmarkEnd w:id="19"/>
    <w:bookmarkEnd w:id="20"/>
    <w:bookmarkStart w:id="24" w:name="X2294e353f63bbf43a569a1eeee897fe8ad8488c"/>
    <w:p>
      <w:pPr>
        <w:pStyle w:val="Heading1"/>
      </w:pPr>
      <w:r>
        <w:t xml:space="preserve">5. Certificate Infrastructure and Device Enrollment</w:t>
      </w:r>
    </w:p>
    <w:bookmarkStart w:id="21" w:name="the-certificate-trust-chain"/>
    <w:p>
      <w:pPr>
        <w:pStyle w:val="Heading2"/>
      </w:pPr>
      <w:r>
        <w:t xml:space="preserve">5.1 The Certificate Trust Chain</w:t>
      </w:r>
    </w:p>
    <w:p>
      <w:pPr>
        <w:pStyle w:val="FirstParagraph"/>
      </w:pPr>
      <w:r>
        <w:t xml:space="preserve">NAC with EAP-TLS requires every managed device to hold a machine certificate trusted by the RADIUS server’s CA. This certificate is distinct from the user certificate (used for user authentication to Entra ID). The machine certificate proves device identity — that this physical device is an Agency-enrolled managed endpoint — independently of which user is logged in.</w:t>
      </w:r>
    </w:p>
    <w:p>
      <w:pPr>
        <w:pStyle w:val="BodyText"/>
      </w:pPr>
      <w:r>
        <w:t xml:space="preserve">The certificate trust chain for Agency GCC Moderate NAC:</w:t>
      </w:r>
    </w:p>
    <w:p>
      <w:pPr>
        <w:pStyle w:val="SourceCode"/>
      </w:pPr>
      <w:r>
        <w:rPr>
          <w:rStyle w:val="VerbatimChar"/>
        </w:rPr>
        <w:t xml:space="preserve">Microsoft Cloud PKI Root CA — or agency AD CS Root</w:t>
      </w:r>
      <w:r>
        <w:br/>
      </w:r>
      <w:r>
        <w:rPr>
          <w:rStyle w:val="VerbatimChar"/>
        </w:rPr>
        <w:t xml:space="preserve">  └─ Agency Device Identity CA (Intermediate, deployed via Intune)</w:t>
      </w:r>
      <w:r>
        <w:br/>
      </w:r>
      <w:r>
        <w:rPr>
          <w:rStyle w:val="VerbatimChar"/>
        </w:rPr>
        <w:t xml:space="preserve">       └─ Device Machine Certificates (issued per-device at enrollment)</w:t>
      </w:r>
    </w:p>
    <w:p>
      <w:pPr>
        <w:pStyle w:val="FirstParagraph"/>
      </w:pPr>
      <w:r>
        <w:t xml:space="preserve">Both issuance paths terminate in the same intermediate:</w:t>
      </w:r>
      <w:r>
        <w:t xml:space="preserve"> </w:t>
      </w:r>
      <w:r>
        <w:rPr>
          <w:b/>
          <w:bCs/>
        </w:rPr>
        <w:t xml:space="preserve">Microsoft Cloud PKI</w:t>
      </w:r>
      <w:r>
        <w:t xml:space="preserve"> </w:t>
      </w:r>
      <w:r>
        <w:t xml:space="preserve">(the Intune add-on for cloud-issued certificates) can host the issuing CA directly, or the agency’s existing</w:t>
      </w:r>
      <w:r>
        <w:t xml:space="preserve"> </w:t>
      </w:r>
      <w:r>
        <w:rPr>
          <w:b/>
          <w:bCs/>
        </w:rPr>
        <w:t xml:space="preserve">AD CS</w:t>
      </w:r>
      <w:r>
        <w:t xml:space="preserve"> </w:t>
      </w:r>
      <w:r>
        <w:t xml:space="preserve">issues via the Intune SCEP connector (NDES). The choice is a PKI-operations decision; the RADIUS trust configuration and the EAP-TLS exchange are identical under either.</w:t>
      </w:r>
    </w:p>
    <w:p>
      <w:pPr>
        <w:pStyle w:val="BodyText"/>
      </w:pPr>
      <w:r>
        <w:t xml:space="preserve">The RADIUS server (NPS) is configured to trust the Agency Device Identity CA. Any device that presents a certificate signed by this CA and passes the revocation check is recognized as a managed Agency device.</w:t>
      </w:r>
    </w:p>
    <w:bookmarkEnd w:id="21"/>
    <w:bookmarkStart w:id="22" w:name="intune-scep-certificate-enrollment"/>
    <w:p>
      <w:pPr>
        <w:pStyle w:val="Heading2"/>
      </w:pPr>
      <w:r>
        <w:t xml:space="preserve">5.2 Intune SCEP Certificate Enrollment</w:t>
      </w:r>
    </w:p>
    <w:p>
      <w:pPr>
        <w:pStyle w:val="FirstParagraph"/>
      </w:pPr>
      <w:r>
        <w:t xml:space="preserve">Certificates are provisioned via Simple Certificate Enrollment Protocol (SCEP), configured as an Intune device configuration profile. The enrollment flow:</w:t>
      </w:r>
    </w:p>
    <w:p>
      <w:pPr>
        <w:pStyle w:val="Compact"/>
        <w:numPr>
          <w:ilvl w:val="0"/>
          <w:numId w:val="1006"/>
        </w:numPr>
      </w:pPr>
      <w:r>
        <w:t xml:space="preserve">Device completes Intune enrollment (Autopilot or manual MDM enrollment).</w:t>
      </w:r>
    </w:p>
    <w:p>
      <w:pPr>
        <w:pStyle w:val="Compact"/>
        <w:numPr>
          <w:ilvl w:val="0"/>
          <w:numId w:val="1006"/>
        </w:numPr>
      </w:pPr>
      <w:r>
        <w:t xml:space="preserve">Intune pushes the SCEP certificate profile to the device.</w:t>
      </w:r>
    </w:p>
    <w:p>
      <w:pPr>
        <w:pStyle w:val="Compact"/>
        <w:numPr>
          <w:ilvl w:val="0"/>
          <w:numId w:val="1006"/>
        </w:numPr>
      </w:pPr>
      <w:r>
        <w:t xml:space="preserve">The device generates a key pair locally (private key never leaves the device — stored in TPM where available).</w:t>
      </w:r>
    </w:p>
    <w:p>
      <w:pPr>
        <w:pStyle w:val="Compact"/>
        <w:numPr>
          <w:ilvl w:val="0"/>
          <w:numId w:val="1006"/>
        </w:numPr>
      </w:pPr>
      <w:r>
        <w:t xml:space="preserve">The device sends a SCEP certificate request to the Intune SCEP connector (NDES server or cloud SCEP).</w:t>
      </w:r>
    </w:p>
    <w:p>
      <w:pPr>
        <w:pStyle w:val="Compact"/>
        <w:numPr>
          <w:ilvl w:val="0"/>
          <w:numId w:val="1006"/>
        </w:numPr>
      </w:pPr>
      <w:r>
        <w:t xml:space="preserve">The SCEP connector forwards the request to the issuing CA after validating the Intune enrollment token.</w:t>
      </w:r>
    </w:p>
    <w:p>
      <w:pPr>
        <w:pStyle w:val="Compact"/>
        <w:numPr>
          <w:ilvl w:val="0"/>
          <w:numId w:val="1006"/>
        </w:numPr>
      </w:pPr>
      <w:r>
        <w:t xml:space="preserve">The CA issues the certificate and returns it to the device via SCEP.</w:t>
      </w:r>
    </w:p>
    <w:p>
      <w:pPr>
        <w:pStyle w:val="Compact"/>
        <w:numPr>
          <w:ilvl w:val="0"/>
          <w:numId w:val="1006"/>
        </w:numPr>
      </w:pPr>
      <w:r>
        <w:t xml:space="preserve">The device installs the certificate in the Computer certificate store (not the user store — this is critical for machine authentication to work before any user logs in).</w:t>
      </w:r>
    </w:p>
    <w:p>
      <w:pPr>
        <w:pStyle w:val="FirstParagraph"/>
      </w:pPr>
      <w:r>
        <w:rPr>
          <w:b/>
          <w:bCs/>
        </w:rPr>
        <w:t xml:space="preserve">Intune SCEP Profile — Key Parameters:</w:t>
      </w:r>
    </w:p>
    <w:p>
      <w:pPr>
        <w:pStyle w:val="SourceCode"/>
      </w:pPr>
      <w:r>
        <w:rPr>
          <w:rStyle w:val="FunctionTok"/>
        </w:rPr>
        <w:t xml:space="preserve">{</w:t>
      </w:r>
      <w:r>
        <w:br/>
      </w:r>
      <w:r>
        <w:rPr>
          <w:rStyle w:val="NormalTok"/>
        </w:rPr>
        <w:t xml:space="preserve">  </w:t>
      </w:r>
      <w:r>
        <w:rPr>
          <w:rStyle w:val="DataTypeTok"/>
        </w:rPr>
        <w:t xml:space="preserve">"certificateStore"</w:t>
      </w:r>
      <w:r>
        <w:rPr>
          <w:rStyle w:val="FunctionTok"/>
        </w:rPr>
        <w:t xml:space="preserve">:</w:t>
      </w:r>
      <w:r>
        <w:rPr>
          <w:rStyle w:val="NormalTok"/>
        </w:rPr>
        <w:t xml:space="preserve"> </w:t>
      </w:r>
      <w:r>
        <w:rPr>
          <w:rStyle w:val="StringTok"/>
        </w:rPr>
        <w:t xml:space="preserve">"Machine"</w:t>
      </w:r>
      <w:r>
        <w:rPr>
          <w:rStyle w:val="FunctionTok"/>
        </w:rPr>
        <w:t xml:space="preserve">,</w:t>
      </w:r>
      <w:r>
        <w:br/>
      </w:r>
      <w:r>
        <w:rPr>
          <w:rStyle w:val="NormalTok"/>
        </w:rPr>
        <w:t xml:space="preserve">  </w:t>
      </w:r>
      <w:r>
        <w:rPr>
          <w:rStyle w:val="DataTypeTok"/>
        </w:rPr>
        <w:t xml:space="preserve">"keyUsage"</w:t>
      </w:r>
      <w:r>
        <w:rPr>
          <w:rStyle w:val="FunctionTok"/>
        </w:rPr>
        <w:t xml:space="preserve">:</w:t>
      </w:r>
      <w:r>
        <w:rPr>
          <w:rStyle w:val="NormalTok"/>
        </w:rPr>
        <w:t xml:space="preserve"> </w:t>
      </w:r>
      <w:r>
        <w:rPr>
          <w:rStyle w:val="StringTok"/>
        </w:rPr>
        <w:t xml:space="preserve">"DigitalSignature, KeyEncipherment"</w:t>
      </w:r>
      <w:r>
        <w:rPr>
          <w:rStyle w:val="FunctionTok"/>
        </w:rPr>
        <w:t xml:space="preserve">,</w:t>
      </w:r>
      <w:r>
        <w:br/>
      </w:r>
      <w:r>
        <w:rPr>
          <w:rStyle w:val="NormalTok"/>
        </w:rPr>
        <w:t xml:space="preserve">  </w:t>
      </w:r>
      <w:r>
        <w:rPr>
          <w:rStyle w:val="DataTypeTok"/>
        </w:rPr>
        <w:t xml:space="preserve">"subjectNameFormat"</w:t>
      </w:r>
      <w:r>
        <w:rPr>
          <w:rStyle w:val="FunctionTok"/>
        </w:rPr>
        <w:t xml:space="preserve">:</w:t>
      </w:r>
      <w:r>
        <w:rPr>
          <w:rStyle w:val="NormalTok"/>
        </w:rPr>
        <w:t xml:space="preserve"> </w:t>
      </w:r>
      <w:r>
        <w:rPr>
          <w:rStyle w:val="StringTok"/>
        </w:rPr>
        <w:t xml:space="preserve">"CN={{DeviceName}}"</w:t>
      </w:r>
      <w:r>
        <w:rPr>
          <w:rStyle w:val="FunctionTok"/>
        </w:rPr>
        <w:t xml:space="preserve">,</w:t>
      </w:r>
      <w:r>
        <w:br/>
      </w:r>
      <w:r>
        <w:rPr>
          <w:rStyle w:val="NormalTok"/>
        </w:rPr>
        <w:t xml:space="preserve">  </w:t>
      </w:r>
      <w:r>
        <w:rPr>
          <w:rStyle w:val="DataTypeTok"/>
        </w:rPr>
        <w:t xml:space="preserve">"subjectAlternativeNameType"</w:t>
      </w:r>
      <w:r>
        <w:rPr>
          <w:rStyle w:val="FunctionTok"/>
        </w:rPr>
        <w:t xml:space="preserve">:</w:t>
      </w:r>
      <w:r>
        <w:rPr>
          <w:rStyle w:val="NormalTok"/>
        </w:rPr>
        <w:t xml:space="preserve"> </w:t>
      </w:r>
      <w:r>
        <w:rPr>
          <w:rStyle w:val="StringTok"/>
        </w:rPr>
        <w:t xml:space="preserve">"UserPrincipalName"</w:t>
      </w:r>
      <w:r>
        <w:rPr>
          <w:rStyle w:val="FunctionTok"/>
        </w:rPr>
        <w:t xml:space="preserve">,</w:t>
      </w:r>
      <w:r>
        <w:br/>
      </w:r>
      <w:r>
        <w:rPr>
          <w:rStyle w:val="NormalTok"/>
        </w:rPr>
        <w:t xml:space="preserve">  </w:t>
      </w:r>
      <w:r>
        <w:rPr>
          <w:rStyle w:val="DataTypeTok"/>
        </w:rPr>
        <w:t xml:space="preserve">"subjectAlternativeNameValue"</w:t>
      </w:r>
      <w:r>
        <w:rPr>
          <w:rStyle w:val="FunctionTok"/>
        </w:rPr>
        <w:t xml:space="preserve">:</w:t>
      </w:r>
      <w:r>
        <w:rPr>
          <w:rStyle w:val="NormalTok"/>
        </w:rPr>
        <w:t xml:space="preserve"> </w:t>
      </w:r>
      <w:r>
        <w:rPr>
          <w:rStyle w:val="StringTok"/>
        </w:rPr>
        <w:t xml:space="preserve">"{{DeviceId}}@tenant.onmicrosoft.com"</w:t>
      </w:r>
      <w:r>
        <w:rPr>
          <w:rStyle w:val="FunctionTok"/>
        </w:rPr>
        <w:t xml:space="preserve">,</w:t>
      </w:r>
      <w:r>
        <w:br/>
      </w:r>
      <w:r>
        <w:rPr>
          <w:rStyle w:val="NormalTok"/>
        </w:rPr>
        <w:t xml:space="preserve">  </w:t>
      </w:r>
      <w:r>
        <w:rPr>
          <w:rStyle w:val="DataTypeTok"/>
        </w:rPr>
        <w:t xml:space="preserve">"certificateValidityPeriodValue"</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"certificateValidityPeriodScale"</w:t>
      </w:r>
      <w:r>
        <w:rPr>
          <w:rStyle w:val="FunctionTok"/>
        </w:rPr>
        <w:t xml:space="preserve">:</w:t>
      </w:r>
      <w:r>
        <w:rPr>
          <w:rStyle w:val="NormalTok"/>
        </w:rPr>
        <w:t xml:space="preserve"> </w:t>
      </w:r>
      <w:r>
        <w:rPr>
          <w:rStyle w:val="StringTok"/>
        </w:rPr>
        <w:t xml:space="preserve">"Years"</w:t>
      </w:r>
      <w:r>
        <w:rPr>
          <w:rStyle w:val="FunctionTok"/>
        </w:rPr>
        <w:t xml:space="preserve">,</w:t>
      </w:r>
      <w:r>
        <w:br/>
      </w:r>
      <w:r>
        <w:rPr>
          <w:rStyle w:val="NormalTok"/>
        </w:rPr>
        <w:t xml:space="preserve">  </w:t>
      </w:r>
      <w:r>
        <w:rPr>
          <w:rStyle w:val="DataTypeTok"/>
        </w:rPr>
        <w:t xml:space="preserve">"renewalThresholdPercentage"</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"keyStorageProvider"</w:t>
      </w:r>
      <w:r>
        <w:rPr>
          <w:rStyle w:val="FunctionTok"/>
        </w:rPr>
        <w:t xml:space="preserve">:</w:t>
      </w:r>
      <w:r>
        <w:rPr>
          <w:rStyle w:val="NormalTok"/>
        </w:rPr>
        <w:t xml:space="preserve"> </w:t>
      </w:r>
      <w:r>
        <w:rPr>
          <w:rStyle w:val="StringTok"/>
        </w:rPr>
        <w:t xml:space="preserve">"Enroll to TPM KSP if present, otherwise Software KSP"</w:t>
      </w:r>
      <w:r>
        <w:rPr>
          <w:rStyle w:val="FunctionTok"/>
        </w:rPr>
        <w:t xml:space="preserve">,</w:t>
      </w:r>
      <w:r>
        <w:br/>
      </w:r>
      <w:r>
        <w:rPr>
          <w:rStyle w:val="NormalTok"/>
        </w:rPr>
        <w:t xml:space="preserve">  </w:t>
      </w:r>
      <w:r>
        <w:rPr>
          <w:rStyle w:val="DataTypeTok"/>
        </w:rPr>
        <w:t xml:space="preserve">"scepServerUrls"</w:t>
      </w:r>
      <w:r>
        <w:rPr>
          <w:rStyle w:val="FunctionTok"/>
        </w:rPr>
        <w:t xml:space="preserve">:</w:t>
      </w:r>
      <w:r>
        <w:rPr>
          <w:rStyle w:val="NormalTok"/>
        </w:rPr>
        <w:t xml:space="preserve"> </w:t>
      </w:r>
      <w:r>
        <w:rPr>
          <w:rStyle w:val="OtherTok"/>
        </w:rPr>
        <w:t xml:space="preserve">[</w:t>
      </w:r>
      <w:r>
        <w:rPr>
          <w:rStyle w:val="StringTok"/>
        </w:rPr>
        <w:t xml:space="preserve">"https://ndes.tenant.onmicrosoft.com/certsrv/mscep/mscep.dll"</w:t>
      </w:r>
      <w:r>
        <w:rPr>
          <w:rStyle w:val="OtherTok"/>
        </w:rPr>
        <w:t xml:space="preserve">]</w:t>
      </w:r>
      <w:r>
        <w:br/>
      </w:r>
      <w:r>
        <w:rPr>
          <w:rStyle w:val="FunctionTok"/>
        </w:rPr>
        <w:t xml:space="preserve">}</w:t>
      </w:r>
    </w:p>
    <w:p>
      <w:pPr>
        <w:pStyle w:val="FirstParagraph"/>
      </w:pPr>
      <w:r>
        <w:t xml:space="preserve">The</w:t>
      </w:r>
      <w:r>
        <w:t xml:space="preserve"> </w:t>
      </w:r>
      <w:r>
        <w:rPr>
          <w:rStyle w:val="VerbatimChar"/>
        </w:rPr>
        <w:t xml:space="preserve">subjectAlternativeNameValue</w:t>
      </w:r>
      <w:r>
        <w:t xml:space="preserve"> </w:t>
      </w:r>
      <w:r>
        <w:t xml:space="preserve">uses</w:t>
      </w:r>
      <w:r>
        <w:t xml:space="preserve"> </w:t>
      </w:r>
      <w:r>
        <w:rPr>
          <w:rStyle w:val="VerbatimChar"/>
        </w:rPr>
        <w:t xml:space="preserve">{DeviceId}</w:t>
      </w:r>
      <w:r>
        <w:t xml:space="preserve"> </w:t>
      </w:r>
      <w:r>
        <w:t xml:space="preserve">— the Intune Device ID. The NPS policy is configured to validate that the SAN in the presented certificate corresponds to an active, compliant device in the Entra ID device inventory via the Graph API. A certificate from a device that has since been wiped, deleted from Entra ID, or marked non-compliant is rejected even if the certificate itself has not expired.</w:t>
      </w:r>
    </w:p>
    <w:bookmarkEnd w:id="22"/>
    <w:bookmarkStart w:id="23" w:name="certificate-revocation"/>
    <w:p>
      <w:pPr>
        <w:pStyle w:val="Heading2"/>
      </w:pPr>
      <w:r>
        <w:t xml:space="preserve">5.3 Certificate Revocation</w:t>
      </w:r>
    </w:p>
    <w:p>
      <w:pPr>
        <w:pStyle w:val="FirstParagraph"/>
      </w:pPr>
      <w:r>
        <w:t xml:space="preserve">Two revocation mechanisms operate in parallel:</w:t>
      </w:r>
    </w:p>
    <w:p>
      <w:pPr>
        <w:pStyle w:val="Compact"/>
        <w:numPr>
          <w:ilvl w:val="0"/>
          <w:numId w:val="1007"/>
        </w:numPr>
      </w:pPr>
      <w:r>
        <w:rPr>
          <w:b/>
          <w:bCs/>
        </w:rPr>
        <w:t xml:space="preserve">CRL (Certificate Revocation List)</w:t>
      </w:r>
      <w:r>
        <w:t xml:space="preserve"> </w:t>
      </w:r>
      <w:r>
        <w:t xml:space="preserve">— the CA publishes a CRL every 24 hours. NPS checks the CRL before accepting a certificate. The CRL distribution point URL must be reachable from all NPS servers (HTTP, not LDAP, for resilience).</w:t>
      </w:r>
    </w:p>
    <w:p>
      <w:pPr>
        <w:pStyle w:val="Compact"/>
        <w:numPr>
          <w:ilvl w:val="0"/>
          <w:numId w:val="1007"/>
        </w:numPr>
      </w:pPr>
      <w:r>
        <w:rPr>
          <w:b/>
          <w:bCs/>
        </w:rPr>
        <w:t xml:space="preserve">OCSP (Online Certificate Status Protocol)</w:t>
      </w:r>
      <w:r>
        <w:t xml:space="preserve"> </w:t>
      </w:r>
      <w:r>
        <w:t xml:space="preserve">— for real-time revocation checks. The CA’s OCSP responder answers per-certificate status queries in under 500ms. NPS queries OCSP on every authentication if the CA supports it and the certificate includes an OCSP stapling extension.</w:t>
      </w:r>
    </w:p>
    <w:p>
      <w:pPr>
        <w:pStyle w:val="FirstParagraph"/>
      </w:pPr>
      <w:r>
        <w:t xml:space="preserve">When a device is decommissioned, stolen, or wiped, the device certificate is revoked in the CA within the same change window. The next 802.1X re-authentication (which occurs every 8 hours per the NPS policy) will fail the revocation check and move the port to the quarantine VLAN.</w:t>
      </w:r>
    </w:p>
    <w:bookmarkEnd w:id="23"/>
    <w:bookmarkEnd w:id="24"/>
    <w:bookmarkStart w:id="30" w:name="nac-policy-tier-structure"/>
    <w:p>
      <w:pPr>
        <w:pStyle w:val="Heading1"/>
      </w:pPr>
      <w:r>
        <w:t xml:space="preserve">6. NAC Policy Tier Structure</w:t>
      </w:r>
    </w:p>
    <w:bookmarkStart w:id="25" w:name="overview"/>
    <w:p>
      <w:pPr>
        <w:pStyle w:val="Heading2"/>
      </w:pPr>
      <w:r>
        <w:t xml:space="preserve">6.1 Overview</w:t>
      </w:r>
    </w:p>
    <w:p>
      <w:pPr>
        <w:pStyle w:val="FirstParagraph"/>
      </w:pPr>
      <w:r>
        <w:t xml:space="preserve">The RADIUS server returns a VLAN assignment (and optionally a filter policy and session timeout) for each authenticated device. The VLAN assignment is the enforcement mechanism — it determines which network segment the device enters and therefore which resources it can reach.</w:t>
      </w:r>
    </w:p>
    <w:p>
      <w:pPr>
        <w:pStyle w:val="BodyText"/>
      </w:pPr>
      <w:r>
        <w:t xml:space="preserve">} resources, DNS resolves to captive portal. Yes leads to second decision: is the device compliant per Intune (patch level current, AV active, encryption enabled)? No leads to Remediation VLAN (VLAN 200): access to Intune, Windows Update, and AV update endpoints only. Yes leads to Production VLAN (VLAN 100, department-specific): full Agency resource access per network ACLs.” width=</w:t>
      </w:r>
      <w:r>
        <w:t xml:space="preserve">“100%”</w:t>
      </w:r>
      <w:r>
        <w:t xml:space="preserve">}</w:t>
      </w:r>
    </w:p>
    <w:p>
      <w:pPr>
        <w:pStyle w:val="TableCaption"/>
      </w:pPr>
      <w:r>
        <w:t xml:space="preserve">NAC Policy Tiers</w:t>
      </w:r>
    </w:p>
    <w:tbl>
      <w:tblPr>
        <w:tblStyle w:val="Table"/>
        <w:tblW w:type="pct" w:w="5000"/>
        <w:tblLayout w:type="fixed"/>
        <w:tblLook w:firstRow="1" w:lastRow="0" w:firstColumn="0" w:lastColumn="0" w:noHBand="0" w:noVBand="0" w:val="0020"/>
        <w:tblCaption w:val="NAC Policy Tiers"/>
      </w:tblPr>
      <w:tblGrid>
        <w:gridCol w:w="1218"/>
        <w:gridCol w:w="1218"/>
        <w:gridCol w:w="2233"/>
        <w:gridCol w:w="3249"/>
      </w:tblGrid>
      <w:tr>
        <w:trPr>
          <w:tblHeader w:val="on"/>
        </w:trPr>
        <w:tc>
          <w:tcPr/>
          <w:p>
            <w:pPr>
              <w:pStyle w:val="Compact"/>
            </w:pPr>
            <w:r>
              <w:t xml:space="preserve">Tier</w:t>
            </w:r>
          </w:p>
        </w:tc>
        <w:tc>
          <w:tcPr/>
          <w:p>
            <w:pPr>
              <w:pStyle w:val="Compact"/>
            </w:pPr>
            <w:r>
              <w:t xml:space="preserve">VLAN</w:t>
            </w:r>
          </w:p>
        </w:tc>
        <w:tc>
          <w:tcPr/>
          <w:p>
            <w:pPr>
              <w:pStyle w:val="Compact"/>
            </w:pPr>
            <w:r>
              <w:t xml:space="preserve">Condition</w:t>
            </w:r>
          </w:p>
        </w:tc>
        <w:tc>
          <w:tcPr/>
          <w:p>
            <w:pPr>
              <w:pStyle w:val="Compact"/>
            </w:pPr>
            <w:r>
              <w:t xml:space="preserve">Network Access</w:t>
            </w:r>
          </w:p>
        </w:tc>
      </w:tr>
      <w:tr>
        <w:tc>
          <w:tcPr/>
          <w:p>
            <w:pPr>
              <w:pStyle w:val="Compact"/>
            </w:pPr>
            <w:r>
              <w:rPr>
                <w:b/>
                <w:bCs/>
              </w:rPr>
              <w:t xml:space="preserve">Production</w:t>
            </w:r>
          </w:p>
        </w:tc>
        <w:tc>
          <w:tcPr/>
          <w:p>
            <w:pPr>
              <w:pStyle w:val="Compact"/>
            </w:pPr>
            <w:r>
              <w:t xml:space="preserve">100–190 (dept)</w:t>
            </w:r>
          </w:p>
        </w:tc>
        <w:tc>
          <w:tcPr/>
          <w:p>
            <w:pPr>
              <w:pStyle w:val="Compact"/>
            </w:pPr>
            <w:r>
              <w:t xml:space="preserve">Valid cert + Intune compliant</w:t>
            </w:r>
          </w:p>
        </w:tc>
        <w:tc>
          <w:tcPr/>
          <w:p>
            <w:pPr>
              <w:pStyle w:val="Compact"/>
            </w:pPr>
            <w:r>
              <w:t xml:space="preserve">Full Agency resource access per ACL</w:t>
            </w:r>
          </w:p>
        </w:tc>
      </w:tr>
      <w:tr>
        <w:tc>
          <w:tcPr/>
          <w:p>
            <w:pPr>
              <w:pStyle w:val="Compact"/>
            </w:pPr>
            <w:r>
              <w:rPr>
                <w:b/>
                <w:bCs/>
              </w:rPr>
              <w:t xml:space="preserve">Remediation</w:t>
            </w:r>
          </w:p>
        </w:tc>
        <w:tc>
          <w:tcPr/>
          <w:p>
            <w:pPr>
              <w:pStyle w:val="Compact"/>
            </w:pPr>
            <w:r>
              <w:t xml:space="preserve">200</w:t>
            </w:r>
          </w:p>
        </w:tc>
        <w:tc>
          <w:tcPr/>
          <w:p>
            <w:pPr>
              <w:pStyle w:val="Compact"/>
            </w:pPr>
            <w:r>
              <w:t xml:space="preserve">Valid cert + Intune non-compliant</w:t>
            </w:r>
          </w:p>
        </w:tc>
        <w:tc>
          <w:tcPr/>
          <w:p>
            <w:pPr>
              <w:pStyle w:val="Compact"/>
            </w:pPr>
            <w:r>
              <w:t xml:space="preserve">Intune, Windows Update, AV endpoints only</w:t>
            </w:r>
          </w:p>
        </w:tc>
      </w:tr>
      <w:tr>
        <w:tc>
          <w:tcPr/>
          <w:p>
            <w:pPr>
              <w:pStyle w:val="Compact"/>
            </w:pPr>
            <w:r>
              <w:rPr>
                <w:b/>
                <w:bCs/>
              </w:rPr>
              <w:t xml:space="preserve">Quarantine</w:t>
            </w:r>
          </w:p>
        </w:tc>
        <w:tc>
          <w:tcPr/>
          <w:p>
            <w:pPr>
              <w:pStyle w:val="Compact"/>
            </w:pPr>
            <w:r>
              <w:t xml:space="preserve">999</w:t>
            </w:r>
          </w:p>
        </w:tc>
        <w:tc>
          <w:tcPr/>
          <w:p>
            <w:pPr>
              <w:pStyle w:val="Compact"/>
            </w:pPr>
            <w:r>
              <w:t xml:space="preserve">No valid cert or cert revoked</w:t>
            </w:r>
          </w:p>
        </w:tc>
        <w:tc>
          <w:tcPr/>
          <w:p>
            <w:pPr>
              <w:pStyle w:val="Compact"/>
            </w:pPr>
            <w:r>
              <w:t xml:space="preserve">Internet-only; captive portal</w:t>
            </w:r>
          </w:p>
        </w:tc>
      </w:tr>
      <w:tr>
        <w:tc>
          <w:tcPr/>
          <w:p>
            <w:pPr>
              <w:pStyle w:val="Compact"/>
            </w:pPr>
            <w:r>
              <w:rPr>
                <w:b/>
                <w:bCs/>
              </w:rPr>
              <w:t xml:space="preserve">Guest</w:t>
            </w:r>
          </w:p>
        </w:tc>
        <w:tc>
          <w:tcPr/>
          <w:p>
            <w:pPr>
              <w:pStyle w:val="Compact"/>
            </w:pPr>
            <w:r>
              <w:t xml:space="preserve">500</w:t>
            </w:r>
          </w:p>
        </w:tc>
        <w:tc>
          <w:tcPr/>
          <w:p>
            <w:pPr>
              <w:pStyle w:val="Compact"/>
            </w:pPr>
            <w:r>
              <w:t xml:space="preserve">MAB — unmanaged device</w:t>
            </w:r>
          </w:p>
        </w:tc>
        <w:tc>
          <w:tcPr/>
          <w:p>
            <w:pPr>
              <w:pStyle w:val="Compact"/>
            </w:pPr>
            <w:r>
              <w:t xml:space="preserve">Internet-only; no Agency routing</w:t>
            </w:r>
          </w:p>
        </w:tc>
      </w:tr>
      <w:tr>
        <w:tc>
          <w:tcPr/>
          <w:p>
            <w:pPr>
              <w:pStyle w:val="Compact"/>
            </w:pPr>
            <w:r>
              <w:rPr>
                <w:b/>
                <w:bCs/>
              </w:rPr>
              <w:t xml:space="preserve">IoT</w:t>
            </w:r>
          </w:p>
        </w:tc>
        <w:tc>
          <w:tcPr/>
          <w:p>
            <w:pPr>
              <w:pStyle w:val="Compact"/>
            </w:pPr>
            <w:r>
              <w:t xml:space="preserve">300</w:t>
            </w:r>
          </w:p>
        </w:tc>
        <w:tc>
          <w:tcPr/>
          <w:p>
            <w:pPr>
              <w:pStyle w:val="Compact"/>
            </w:pPr>
            <w:r>
              <w:t xml:space="preserve">MAB — approved MAC prefix</w:t>
            </w:r>
          </w:p>
        </w:tc>
        <w:tc>
          <w:tcPr/>
          <w:p>
            <w:pPr>
              <w:pStyle w:val="Compact"/>
            </w:pPr>
            <w:r>
              <w:t xml:space="preserve">IoT management VLAN only</w:t>
            </w:r>
          </w:p>
        </w:tc>
      </w:tr>
    </w:tbl>
    <w:bookmarkEnd w:id="25"/>
    <w:bookmarkStart w:id="26" w:name="production-vlan"/>
    <w:p>
      <w:pPr>
        <w:pStyle w:val="Heading2"/>
      </w:pPr>
      <w:r>
        <w:t xml:space="preserve">6.2 Production VLAN</w:t>
      </w:r>
    </w:p>
    <w:p>
      <w:pPr>
        <w:pStyle w:val="FirstParagraph"/>
      </w:pPr>
      <w:r>
        <w:t xml:space="preserve">A device reaches the production VLAN by satisfying two independent checks:</w:t>
      </w:r>
    </w:p>
    <w:p>
      <w:pPr>
        <w:pStyle w:val="Compact"/>
        <w:numPr>
          <w:ilvl w:val="0"/>
          <w:numId w:val="1008"/>
        </w:numPr>
      </w:pPr>
      <w:r>
        <w:rPr>
          <w:b/>
          <w:bCs/>
        </w:rPr>
        <w:t xml:space="preserve">Certificate validity</w:t>
      </w:r>
      <w:r>
        <w:t xml:space="preserve"> </w:t>
      </w:r>
      <w:r>
        <w:t xml:space="preserve">— the machine certificate is valid, not expired, issued by the Agency Device Identity CA, and not revoked (CRL/OCSP check passes).</w:t>
      </w:r>
    </w:p>
    <w:p>
      <w:pPr>
        <w:pStyle w:val="Compact"/>
        <w:numPr>
          <w:ilvl w:val="0"/>
          <w:numId w:val="1008"/>
        </w:numPr>
      </w:pPr>
      <w:r>
        <w:rPr>
          <w:b/>
          <w:bCs/>
        </w:rPr>
        <w:t xml:space="preserve">Intune compliance</w:t>
      </w:r>
      <w:r>
        <w:t xml:space="preserve"> </w:t>
      </w:r>
      <w:r>
        <w:t xml:space="preserve">— the NPS Network Policy queries the Intune Compliance API (via the NPS Extension for Azure MFA / Intune, or via a custom RADIUS attribute returned by a NAC-aware proxy) and confirms the device is in the</w:t>
      </w:r>
      <w:r>
        <w:t xml:space="preserve"> </w:t>
      </w:r>
      <w:r>
        <w:rPr>
          <w:rStyle w:val="VerbatimChar"/>
        </w:rPr>
        <w:t xml:space="preserve">compliant</w:t>
      </w:r>
      <w:r>
        <w:t xml:space="preserve"> </w:t>
      </w:r>
      <w:r>
        <w:t xml:space="preserve">state.</w:t>
      </w:r>
    </w:p>
    <w:p>
      <w:pPr>
        <w:pStyle w:val="FirstParagraph"/>
      </w:pPr>
      <w:r>
        <w:t xml:space="preserve">The Intune compliance policy for NAC includes at minimum:</w:t>
      </w:r>
    </w:p>
    <w:p>
      <w:pPr>
        <w:pStyle w:val="Compact"/>
        <w:numPr>
          <w:ilvl w:val="0"/>
          <w:numId w:val="1009"/>
        </w:numPr>
      </w:pPr>
      <w:r>
        <w:t xml:space="preserve">OS patch level: current within 30 days</w:t>
      </w:r>
    </w:p>
    <w:p>
      <w:pPr>
        <w:pStyle w:val="Compact"/>
        <w:numPr>
          <w:ilvl w:val="0"/>
          <w:numId w:val="1009"/>
        </w:numPr>
      </w:pPr>
      <w:r>
        <w:t xml:space="preserve">BitLocker: enabled and recovery key escrowed to Entra ID</w:t>
      </w:r>
    </w:p>
    <w:p>
      <w:pPr>
        <w:pStyle w:val="Compact"/>
        <w:numPr>
          <w:ilvl w:val="0"/>
          <w:numId w:val="1009"/>
        </w:numPr>
      </w:pPr>
      <w:r>
        <w:t xml:space="preserve">Microsoft Defender Antivirus: enabled, definitions current within 7 days</w:t>
      </w:r>
    </w:p>
    <w:p>
      <w:pPr>
        <w:pStyle w:val="Compact"/>
        <w:numPr>
          <w:ilvl w:val="0"/>
          <w:numId w:val="1009"/>
        </w:numPr>
      </w:pPr>
      <w:r>
        <w:t xml:space="preserve">Secure Boot: enabled</w:t>
      </w:r>
    </w:p>
    <w:p>
      <w:pPr>
        <w:pStyle w:val="Compact"/>
        <w:numPr>
          <w:ilvl w:val="0"/>
          <w:numId w:val="1009"/>
        </w:numPr>
      </w:pPr>
      <w:r>
        <w:t xml:space="preserve">TPM: present and enabled</w:t>
      </w:r>
    </w:p>
    <w:p>
      <w:pPr>
        <w:pStyle w:val="Compact"/>
        <w:numPr>
          <w:ilvl w:val="0"/>
          <w:numId w:val="1009"/>
        </w:numPr>
      </w:pPr>
      <w:r>
        <w:t xml:space="preserve">Firewall: enabled on all profiles</w:t>
      </w:r>
    </w:p>
    <w:p>
      <w:pPr>
        <w:pStyle w:val="FirstParagraph"/>
      </w:pPr>
      <w:r>
        <w:t xml:space="preserve">A device that passes certificate validation but fails any compliance check is placed in the Remediation VLAN — it is never silently admitted to production. The Intune compliance status is re-evaluated on the 8-hour RADIUS session re-authentication. A device that fails compliance mid-day receives a Change of Authorization (CoA) message from the NAC policy engine and is moved from the production VLAN to the Remediation VLAN without requiring physical port action.</w:t>
      </w:r>
    </w:p>
    <w:bookmarkEnd w:id="26"/>
    <w:bookmarkStart w:id="27" w:name="remediation-vlan"/>
    <w:p>
      <w:pPr>
        <w:pStyle w:val="Heading2"/>
      </w:pPr>
      <w:r>
        <w:t xml:space="preserve">6.3 Remediation VLAN</w:t>
      </w:r>
    </w:p>
    <w:p>
      <w:pPr>
        <w:pStyle w:val="FirstParagraph"/>
      </w:pPr>
      <w:r>
        <w:t xml:space="preserve">The Remediation VLAN (VLAN 200) has a limited ACL that permits:</w:t>
      </w:r>
    </w:p>
    <w:p>
      <w:pPr>
        <w:pStyle w:val="Compact"/>
        <w:numPr>
          <w:ilvl w:val="0"/>
          <w:numId w:val="1010"/>
        </w:numPr>
      </w:pPr>
      <w:r>
        <w:t xml:space="preserve">HTTPS to</w:t>
      </w:r>
      <w:r>
        <w:t xml:space="preserve"> </w:t>
      </w:r>
      <w:r>
        <w:rPr>
          <w:rStyle w:val="VerbatimChar"/>
        </w:rPr>
        <w:t xml:space="preserve">*.manage.microsoft.com</w:t>
      </w:r>
      <w:r>
        <w:t xml:space="preserve"> </w:t>
      </w:r>
      <w:r>
        <w:t xml:space="preserve">(Intune management traffic)</w:t>
      </w:r>
    </w:p>
    <w:p>
      <w:pPr>
        <w:pStyle w:val="Compact"/>
        <w:numPr>
          <w:ilvl w:val="0"/>
          <w:numId w:val="1010"/>
        </w:numPr>
      </w:pPr>
      <w:r>
        <w:t xml:space="preserve">HTTPS to</w:t>
      </w:r>
      <w:r>
        <w:t xml:space="preserve"> </w:t>
      </w:r>
      <w:r>
        <w:rPr>
          <w:rStyle w:val="VerbatimChar"/>
        </w:rPr>
        <w:t xml:space="preserve">*.update.microsoft.com</w:t>
      </w:r>
      <w:r>
        <w:t xml:space="preserve"> </w:t>
      </w:r>
      <w:r>
        <w:t xml:space="preserve">and</w:t>
      </w:r>
      <w:r>
        <w:t xml:space="preserve"> </w:t>
      </w:r>
      <w:r>
        <w:rPr>
          <w:rStyle w:val="VerbatimChar"/>
        </w:rPr>
        <w:t xml:space="preserve">*.windowsupdate.com</w:t>
      </w:r>
      <w:r>
        <w:t xml:space="preserve"> </w:t>
      </w:r>
      <w:r>
        <w:t xml:space="preserve">(Windows Update)</w:t>
      </w:r>
    </w:p>
    <w:p>
      <w:pPr>
        <w:pStyle w:val="Compact"/>
        <w:numPr>
          <w:ilvl w:val="0"/>
          <w:numId w:val="1010"/>
        </w:numPr>
      </w:pPr>
      <w:r>
        <w:t xml:space="preserve">HTTPS to</w:t>
      </w:r>
      <w:r>
        <w:t xml:space="preserve"> </w:t>
      </w:r>
      <w:r>
        <w:rPr>
          <w:rStyle w:val="VerbatimChar"/>
        </w:rPr>
        <w:t xml:space="preserve">*.wdcp.microsoft.com</w:t>
      </w:r>
      <w:r>
        <w:t xml:space="preserve"> </w:t>
      </w:r>
      <w:r>
        <w:t xml:space="preserve">and</w:t>
      </w:r>
      <w:r>
        <w:t xml:space="preserve"> </w:t>
      </w:r>
      <w:r>
        <w:rPr>
          <w:rStyle w:val="VerbatimChar"/>
        </w:rPr>
        <w:t xml:space="preserve">*.wd.microsoft.com</w:t>
      </w:r>
      <w:r>
        <w:t xml:space="preserve"> </w:t>
      </w:r>
      <w:r>
        <w:t xml:space="preserve">(Defender definition updates)</w:t>
      </w:r>
    </w:p>
    <w:p>
      <w:pPr>
        <w:pStyle w:val="Compact"/>
        <w:numPr>
          <w:ilvl w:val="0"/>
          <w:numId w:val="1010"/>
        </w:numPr>
      </w:pPr>
      <w:r>
        <w:t xml:space="preserve">DNS resolution for those names via the Agency DNS forwarder</w:t>
      </w:r>
    </w:p>
    <w:p>
      <w:pPr>
        <w:pStyle w:val="Compact"/>
        <w:numPr>
          <w:ilvl w:val="0"/>
          <w:numId w:val="1010"/>
        </w:numPr>
      </w:pPr>
      <w:r>
        <w:t xml:space="preserve">No routing to any Agency internal resource</w:t>
      </w:r>
    </w:p>
    <w:p>
      <w:pPr>
        <w:pStyle w:val="FirstParagraph"/>
      </w:pPr>
      <w:r>
        <w:t xml:space="preserve">A device placed in the Remediation VLAN can self-remediate: Windows Update runs automatically, Defender updates its definitions, and Intune re-evaluates compliance on the next check-in cycle (up to 8 hours). When the device returns to</w:t>
      </w:r>
      <w:r>
        <w:t xml:space="preserve"> </w:t>
      </w:r>
      <w:r>
        <w:rPr>
          <w:rStyle w:val="VerbatimChar"/>
        </w:rPr>
        <w:t xml:space="preserve">compliant</w:t>
      </w:r>
      <w:r>
        <w:t xml:space="preserve"> </w:t>
      </w:r>
      <w:r>
        <w:t xml:space="preserve">state in Intune, the NAC policy engine sends a RADIUS CoA to the switch and the port is moved to the production VLAN without requiring manual intervention or a physical reconnect.</w:t>
      </w:r>
    </w:p>
    <w:bookmarkEnd w:id="27"/>
    <w:bookmarkStart w:id="28" w:name="quarantine-vlan"/>
    <w:p>
      <w:pPr>
        <w:pStyle w:val="Heading2"/>
      </w:pPr>
      <w:r>
        <w:t xml:space="preserve">6.4 Quarantine VLAN</w:t>
      </w:r>
    </w:p>
    <w:p>
      <w:pPr>
        <w:pStyle w:val="FirstParagraph"/>
      </w:pPr>
      <w:r>
        <w:t xml:space="preserve">The Quarantine VLAN (VLAN 999) receives devices that fail certificate authentication entirely: no certificate presented, certificate from an unknown CA, expired certificate, or certificate revoked. These are devices that are either not Agency-managed or have been decommissioned.</w:t>
      </w:r>
    </w:p>
    <w:p>
      <w:pPr>
        <w:pStyle w:val="BodyText"/>
      </w:pPr>
      <w:r>
        <w:t xml:space="preserve">A captive portal DNS redirect sends HTTP traffic from the quarantine VLAN to an internal page that explains:</w:t>
      </w:r>
      <w:r>
        <w:t xml:space="preserve"> </w:t>
      </w:r>
      <w:r>
        <w:rPr>
          <w:i/>
          <w:iCs/>
        </w:rPr>
        <w:t xml:space="preserve">“This device is not authorized for Agency network access. If you believe this is in error, contact the Agency Help Desk.”</w:t>
      </w:r>
      <w:r>
        <w:t xml:space="preserve"> </w:t>
      </w:r>
      <w:r>
        <w:t xml:space="preserve">This prevents the user from believing the network is simply down and generating a flood of unrelated help desk calls.</w:t>
      </w:r>
    </w:p>
    <w:bookmarkEnd w:id="28"/>
    <w:bookmarkStart w:id="29" w:name="X3078d21c4d602b844659f443d791c6b5df2a64e"/>
    <w:p>
      <w:pPr>
        <w:pStyle w:val="Heading2"/>
      </w:pPr>
      <w:r>
        <w:t xml:space="preserve">6.5 MAC Authentication Bypass (MAB) — Guest and IoT</w:t>
      </w:r>
    </w:p>
    <w:p>
      <w:pPr>
        <w:pStyle w:val="FirstParagraph"/>
      </w:pPr>
      <w:r>
        <w:t xml:space="preserve">Devices that cannot participate in 802.1X (IP phones, printers, badge readers, IP cameras, HVAC controllers) are handled via MAC Authentication Bypass (MAB). After the 802.1X timeout expires with no supplicant response, the switch sends the device’s MAC address to the RADIUS server as the authentication credential.</w:t>
      </w:r>
    </w:p>
    <w:p>
      <w:pPr>
        <w:pStyle w:val="BodyText"/>
      </w:pPr>
      <w:r>
        <w:t xml:space="preserve">The NPS MAB policy matches the MAC address against two lookup tables:</w:t>
      </w:r>
    </w:p>
    <w:p>
      <w:pPr>
        <w:pStyle w:val="Compact"/>
        <w:numPr>
          <w:ilvl w:val="0"/>
          <w:numId w:val="1011"/>
        </w:numPr>
      </w:pPr>
      <w:r>
        <w:rPr>
          <w:b/>
          <w:bCs/>
        </w:rPr>
        <w:t xml:space="preserve">Approved IoT/OT MAC prefixes</w:t>
      </w:r>
      <w:r>
        <w:t xml:space="preserve"> </w:t>
      </w:r>
      <w:r>
        <w:t xml:space="preserve">— manufacturer OUI prefixes for approved device categories (e.g., the OUI prefix for the Agency-standard IP phone model, the badge reader vendor). These receive VLAN 300 (IoT VLAN) with restricted routing to their management systems only.</w:t>
      </w:r>
    </w:p>
    <w:p>
      <w:pPr>
        <w:pStyle w:val="Compact"/>
        <w:numPr>
          <w:ilvl w:val="0"/>
          <w:numId w:val="1011"/>
        </w:numPr>
      </w:pPr>
      <w:r>
        <w:rPr>
          <w:b/>
          <w:bCs/>
        </w:rPr>
        <w:t xml:space="preserve">Guest</w:t>
      </w:r>
      <w:r>
        <w:t xml:space="preserve"> </w:t>
      </w:r>
      <w:r>
        <w:t xml:space="preserve">— any MAC that does not match an approved prefix or an explicitly registered guest MAC receives VLAN 500 (Guest VLAN) with Internet routing only.</w:t>
      </w:r>
    </w:p>
    <w:p>
      <w:pPr>
        <w:pStyle w:val="FirstParagraph"/>
      </w:pPr>
      <w:r>
        <w:rPr>
          <w:b/>
          <w:bCs/>
        </w:rPr>
        <w:t xml:space="preserve">MAB is Identity by Assertion, Not Proof</w:t>
      </w:r>
      <w:r>
        <w:t xml:space="preserve"> </w:t>
      </w:r>
      <w:r>
        <w:t xml:space="preserve">— MAC addresses are trivially spoofable. MAB provides device</w:t>
      </w:r>
      <w:r>
        <w:t xml:space="preserve"> </w:t>
      </w:r>
      <w:r>
        <w:rPr>
          <w:i/>
          <w:iCs/>
        </w:rPr>
        <w:t xml:space="preserve">classification</w:t>
      </w:r>
      <w:r>
        <w:t xml:space="preserve">, not device</w:t>
      </w:r>
      <w:r>
        <w:t xml:space="preserve"> </w:t>
      </w:r>
      <w:r>
        <w:rPr>
          <w:i/>
          <w:iCs/>
        </w:rPr>
        <w:t xml:space="preserve">authentication</w:t>
      </w:r>
      <w:r>
        <w:t xml:space="preserve">. An attacker who knows an approved IoT device’s MAC address can spoof it and receive IoT VLAN access. MAB should be restricted to device categories where 802.1X supplicant support is technically impossible (embedded firmware devices, legacy OT equipment), and the IoT VLAN should have minimal routing scope. For any device category where 802.1X is feasible, 802.1X must be required.</w:t>
      </w:r>
    </w:p>
    <w:bookmarkEnd w:id="29"/>
    <w:bookmarkEnd w:id="30"/>
    <w:bookmarkStart w:id="33" w:name="posture-assessment-integration"/>
    <w:p>
      <w:pPr>
        <w:pStyle w:val="Heading1"/>
      </w:pPr>
      <w:r>
        <w:t xml:space="preserve">7. Posture Assessment Integration</w:t>
      </w:r>
    </w:p>
    <w:bookmarkStart w:id="31" w:name="intune-compliance-as-the-posture-signal"/>
    <w:p>
      <w:pPr>
        <w:pStyle w:val="Heading2"/>
      </w:pPr>
      <w:r>
        <w:t xml:space="preserve">7.1 Intune Compliance as the Posture Signal</w:t>
      </w:r>
    </w:p>
    <w:p>
      <w:pPr>
        <w:pStyle w:val="FirstParagraph"/>
      </w:pPr>
      <w:r>
        <w:t xml:space="preserve">The posture check in Agency’s NAC deployment is driven by Intune device compliance state, not by an inline NAC probe. This architectural choice is intentional:</w:t>
      </w:r>
    </w:p>
    <w:p>
      <w:pPr>
        <w:pStyle w:val="Compact"/>
        <w:numPr>
          <w:ilvl w:val="0"/>
          <w:numId w:val="1012"/>
        </w:numPr>
      </w:pPr>
      <w:r>
        <w:rPr>
          <w:b/>
          <w:bCs/>
        </w:rPr>
        <w:t xml:space="preserve">Inline NAC posture probes</w:t>
      </w:r>
      <w:r>
        <w:t xml:space="preserve"> </w:t>
      </w:r>
      <w:r>
        <w:t xml:space="preserve">(agent-based or agentless) add a second management plane that must be kept synchronized with the MDM inventory — creating a reconciliation burden and a potential source of false positives/negatives.</w:t>
      </w:r>
    </w:p>
    <w:p>
      <w:pPr>
        <w:pStyle w:val="Compact"/>
        <w:numPr>
          <w:ilvl w:val="0"/>
          <w:numId w:val="1012"/>
        </w:numPr>
      </w:pPr>
      <w:r>
        <w:rPr>
          <w:b/>
          <w:bCs/>
        </w:rPr>
        <w:t xml:space="preserve">Intune compliance</w:t>
      </w:r>
      <w:r>
        <w:t xml:space="preserve"> </w:t>
      </w:r>
      <w:r>
        <w:t xml:space="preserve">is the authoritative posture signal for all Windows and macOS endpoints already enrolled in Intune. The compliance policy runs on the device via the Intune Management Extension, evaluates the same controls that would be checked by a NAC probe (patch level, AV, encryption), and reports the result to the Intune service.</w:t>
      </w:r>
    </w:p>
    <w:p>
      <w:pPr>
        <w:pStyle w:val="FirstParagraph"/>
      </w:pPr>
      <w:r>
        <w:t xml:space="preserve">The NPS Extension for Intune NAC (or equivalent) reads the Intune compliance status for the device identified by the certificate SAN at authentication time and includes it in the RADIUS Access-Accept or Access-Reject.</w:t>
      </w:r>
    </w:p>
    <w:bookmarkEnd w:id="31"/>
    <w:bookmarkStart w:id="32" w:name="X82725fdb1b3c735ef3f4e5298aea4aabc52542d"/>
    <w:p>
      <w:pPr>
        <w:pStyle w:val="Heading2"/>
      </w:pPr>
      <w:r>
        <w:t xml:space="preserve">7.2 RADIUS Change of Authorization (CoA) for Real-Time Enforcement</w:t>
      </w:r>
    </w:p>
    <w:p>
      <w:pPr>
        <w:pStyle w:val="FirstParagraph"/>
      </w:pPr>
      <w:r>
        <w:t xml:space="preserve">The standard 802.1X re-authentication interval (8 hours) means a device that fails compliance mid-day could remain on the production VLAN for up to 8 hours. RADIUS Change of Authorization (CoA, RFC 5176) shrinks this window.</w:t>
      </w:r>
    </w:p>
    <w:p>
      <w:pPr>
        <w:pStyle w:val="BodyText"/>
      </w:pPr>
      <w:r>
        <w:rPr>
          <w:b/>
          <w:bCs/>
        </w:rPr>
        <w:t xml:space="preserve">Why this component exists at all: NPS has no RFC 5176 support.</w:t>
      </w:r>
      <w:r>
        <w:t xml:space="preserve"> </w:t>
      </w:r>
      <w:r>
        <w:t xml:space="preserve">ISE and ClearPass issue CoA natively from their own session state; NPS cannot. The Azure-Function</w:t>
      </w:r>
      <w:r>
        <w:t xml:space="preserve"> </w:t>
      </w:r>
      <w:r>
        <w:t xml:space="preserve">“NAC policy engine”</w:t>
      </w:r>
      <w:r>
        <w:t xml:space="preserve"> </w:t>
      </w:r>
      <w:r>
        <w:t xml:space="preserve">below is a purpose-built dynamic-authorization client that routes around the NPS gap — and its existence is one of the strongest arguments for ISE/ClearPass in the D3 decision. Deploying it honestly means engineering, not two sentences:</w:t>
      </w:r>
    </w:p>
    <w:p>
      <w:pPr>
        <w:pStyle w:val="Compact"/>
        <w:numPr>
          <w:ilvl w:val="0"/>
          <w:numId w:val="1013"/>
        </w:numPr>
      </w:pPr>
      <w:r>
        <w:rPr>
          <w:b/>
          <w:bCs/>
        </w:rPr>
        <w:t xml:space="preserve">Network path:</w:t>
      </w:r>
      <w:r>
        <w:t xml:space="preserve"> </w:t>
      </w:r>
      <w:r>
        <w:t xml:space="preserve">the function needs reachability to</w:t>
      </w:r>
      <w:r>
        <w:t xml:space="preserve"> </w:t>
      </w:r>
      <w:r>
        <w:rPr>
          <w:b/>
          <w:bCs/>
        </w:rPr>
        <w:t xml:space="preserve">UDP 3799 on every switch’s management interface</w:t>
      </w:r>
      <w:r>
        <w:t xml:space="preserve"> </w:t>
      </w:r>
      <w:r>
        <w:t xml:space="preserve">— a cloud-to-management-plane path that must be firewalled to exactly this flow.</w:t>
      </w:r>
    </w:p>
    <w:p>
      <w:pPr>
        <w:pStyle w:val="Compact"/>
        <w:numPr>
          <w:ilvl w:val="0"/>
          <w:numId w:val="1013"/>
        </w:numPr>
      </w:pPr>
      <w:r>
        <w:rPr>
          <w:b/>
          <w:bCs/>
        </w:rPr>
        <w:t xml:space="preserve">Authenticator trust:</w:t>
      </w:r>
      <w:r>
        <w:t xml:space="preserve"> </w:t>
      </w:r>
      <w:r>
        <w:t xml:space="preserve">every switch must be configured to trust the function’s source IP as a dynamic-authorization client (</w:t>
      </w:r>
      <w:r>
        <w:rPr>
          <w:rStyle w:val="VerbatimChar"/>
        </w:rPr>
        <w:t xml:space="preserve">aaa server radius dynamic-author</w:t>
      </w:r>
      <w:r>
        <w:t xml:space="preserve">), with its own shared secret under the same Key Vault rotation regime as the RADIUS secrets.</w:t>
      </w:r>
    </w:p>
    <w:p>
      <w:pPr>
        <w:pStyle w:val="Compact"/>
        <w:numPr>
          <w:ilvl w:val="0"/>
          <w:numId w:val="1013"/>
        </w:numPr>
      </w:pPr>
      <w:r>
        <w:rPr>
          <w:b/>
          <w:bCs/>
        </w:rPr>
        <w:t xml:space="preserve">Session identity:</w:t>
      </w:r>
      <w:r>
        <w:t xml:space="preserve"> </w:t>
      </w:r>
      <w:r>
        <w:t xml:space="preserve">a CoA Disconnect/Re-Auth must carry session-identifying attributes (Calling-Station-Id, NAS-IP-Address, Acct-Session-Id) that exist only in</w:t>
      </w:r>
      <w:r>
        <w:t xml:space="preserve"> </w:t>
      </w:r>
      <w:r>
        <w:rPr>
          <w:b/>
          <w:bCs/>
        </w:rPr>
        <w:t xml:space="preserve">RADIUS accounting data</w:t>
      </w:r>
      <w:r>
        <w:t xml:space="preserve"> </w:t>
      </w:r>
      <w:r>
        <w:t xml:space="preserve">— so the accounting feed stops being telemetry and becomes</w:t>
      </w:r>
      <w:r>
        <w:t xml:space="preserve"> </w:t>
      </w:r>
      <w:r>
        <w:rPr>
          <w:b/>
          <w:bCs/>
        </w:rPr>
        <w:t xml:space="preserve">Tier-0-adjacent enforcement infrastructure</w:t>
      </w:r>
      <w:r>
        <w:t xml:space="preserve">: its integrity and availability now gate an enforcement action.</w:t>
      </w:r>
    </w:p>
    <w:p>
      <w:pPr>
        <w:pStyle w:val="FirstParagraph"/>
      </w:pPr>
      <w:r>
        <w:t xml:space="preserve">The flow: the Azure Function polls the Intune compliance API every 15 minutes and sends a CoA Disconnect or Re-Auth to the owning switch when a device’s state changes from</w:t>
      </w:r>
      <w:r>
        <w:t xml:space="preserve"> </w:t>
      </w:r>
      <w:r>
        <w:rPr>
          <w:rStyle w:val="VerbatimChar"/>
        </w:rPr>
        <w:t xml:space="preserve">compliant</w:t>
      </w:r>
      <w:r>
        <w:t xml:space="preserve"> </w:t>
      </w:r>
      <w:r>
        <w:t xml:space="preserve">to</w:t>
      </w:r>
      <w:r>
        <w:t xml:space="preserve"> </w:t>
      </w:r>
      <w:r>
        <w:rPr>
          <w:rStyle w:val="VerbatimChar"/>
        </w:rPr>
        <w:t xml:space="preserve">nonCompliant</w:t>
      </w:r>
      <w:r>
        <w:t xml:space="preserve">, using session attributes resolved from the accounting feed. The switch re-authenticates the device, the RADIUS server returns the Remediation VLAN, and the port moves without manual intervention.</w:t>
      </w:r>
    </w:p>
    <w:p>
      <w:pPr>
        <w:pStyle w:val="BodyText"/>
      </w:pPr>
      <w:r>
        <w:rPr>
          <w:b/>
          <w:bCs/>
        </w:rPr>
        <w:t xml:space="preserve">Qualify the timing claim:</w:t>
      </w:r>
      <w:r>
        <w:t xml:space="preserve"> </w:t>
      </w:r>
      <w:r>
        <w:t xml:space="preserve">“within 20 minutes”</w:t>
      </w:r>
      <w:r>
        <w:t xml:space="preserve"> </w:t>
      </w:r>
      <w:r>
        <w:t xml:space="preserve">is 20 minutes</w:t>
      </w:r>
      <w:r>
        <w:t xml:space="preserve"> </w:t>
      </w:r>
      <w:r>
        <w:rPr>
          <w:i/>
          <w:iCs/>
        </w:rPr>
        <w:t xml:space="preserve">after Intune registers the state change</w:t>
      </w:r>
      <w:r>
        <w:t xml:space="preserve"> </w:t>
      </w:r>
      <w:r>
        <w:t xml:space="preserve">— the polling interval plus CoA propagation. Intune’s own compliance evaluation depends on device check-in cadence and can lag the actual on-device state change by hours. The bound that holds unconditionally is the 8-hour re-authentication backstop (see</w:t>
      </w:r>
      <w:r>
        <w:t xml:space="preserve"> </w:t>
      </w:r>
      <w:r>
        <w:t xml:space="preserve">“Session Timeout and Re-Authentication”</w:t>
      </w:r>
      <w:r>
        <w:t xml:space="preserve">): even with the CoA agent down or Intune lagging, no non-compliant device survives past the next re-auth.</w:t>
      </w:r>
    </w:p>
    <w:bookmarkEnd w:id="32"/>
    <w:bookmarkEnd w:id="33"/>
    <w:bookmarkStart w:id="37" w:name="wired-and-wireless-nac"/>
    <w:p>
      <w:pPr>
        <w:pStyle w:val="Heading1"/>
      </w:pPr>
      <w:r>
        <w:t xml:space="preserve">8. Wired and Wireless NAC</w:t>
      </w:r>
    </w:p>
    <w:bookmarkStart w:id="34" w:name="wired-802.1x"/>
    <w:p>
      <w:pPr>
        <w:pStyle w:val="Heading2"/>
      </w:pPr>
      <w:r>
        <w:t xml:space="preserve">8.1 Wired 802.1X</w:t>
      </w:r>
    </w:p>
    <w:p>
      <w:pPr>
        <w:pStyle w:val="FirstParagraph"/>
      </w:pPr>
      <w:r>
        <w:t xml:space="preserve">Wired 802.1X is enabled on all access-layer switch ports connected to end devices. Uplink ports (trunks between switches, router-on-a-stick uplinks) are excluded from 802.1X and rely on physical security of the network infrastructure layer.</w:t>
      </w:r>
    </w:p>
    <w:p>
      <w:pPr>
        <w:pStyle w:val="BodyText"/>
      </w:pPr>
      <w:r>
        <w:t xml:space="preserve">The key operational consideration for wired NAC rollout is the</w:t>
      </w:r>
      <w:r>
        <w:t xml:space="preserve"> </w:t>
      </w:r>
      <w:r>
        <w:rPr>
          <w:b/>
          <w:bCs/>
        </w:rPr>
        <w:t xml:space="preserve">multi-auth mode</w:t>
      </w:r>
      <w:r>
        <w:t xml:space="preserve"> </w:t>
      </w:r>
      <w:r>
        <w:t xml:space="preserve">setting. A single switch port may have both an IP phone (connected to the wall jack) and a PC (connected to the phone’s PC port, daisy-chained through the phone). The</w:t>
      </w:r>
      <w:r>
        <w:t xml:space="preserve"> </w:t>
      </w:r>
      <w:r>
        <w:rPr>
          <w:rStyle w:val="VerbatimChar"/>
        </w:rPr>
        <w:t xml:space="preserve">authentication host-mode multi-auth</w:t>
      </w:r>
      <w:r>
        <w:t xml:space="preserve"> </w:t>
      </w:r>
      <w:r>
        <w:t xml:space="preserve">configuration allows both devices to authenticate independently: the phone authenticates via MAB (VLAN 300 / voice VLAN), and the PC authenticates via EAP-TLS (VLAN 100 / data VLAN). The switch tags the traffic from each device with the appropriate VLAN, and both devices coexist on the same physical port.</w:t>
      </w:r>
    </w:p>
    <w:bookmarkEnd w:id="34"/>
    <w:bookmarkStart w:id="35" w:name="wireless-802.1x-wpa3-enterprise"/>
    <w:p>
      <w:pPr>
        <w:pStyle w:val="Heading2"/>
      </w:pPr>
      <w:r>
        <w:t xml:space="preserve">8.2 Wireless 802.1X — WPA3-Enterprise</w:t>
      </w:r>
    </w:p>
    <w:p>
      <w:pPr>
        <w:pStyle w:val="FirstParagraph"/>
      </w:pPr>
      <w:r>
        <w:t xml:space="preserve">Wireless 802.1X uses the same EAP-TLS supplicant and certificate infrastructure as wired, but the authenticator is the Wireless Access Point (WAP) or Wireless LAN Controller (WLC). The SSID for managed Agency devices is configured as WPA3-Enterprise (SAE + EAP-TLS), which provides Protected Management Frames (PMF) and eliminates the KRACK-class attacks that affect WPA2-Enterprise.</w:t>
      </w:r>
    </w:p>
    <w:p>
      <w:pPr>
        <w:pStyle w:val="BodyText"/>
      </w:pPr>
      <w:r>
        <w:t xml:space="preserve">A separate guest SSID (WPA3-Personal or open with a captive portal) is provided for personal devices and visitors on a completely separate VLAN with no routing to Agency resources.</w:t>
      </w:r>
    </w:p>
    <w:p>
      <w:pPr>
        <w:pStyle w:val="SourceCode"/>
      </w:pPr>
      <w:r>
        <w:rPr>
          <w:rStyle w:val="VerbatimChar"/>
        </w:rPr>
        <w:t xml:space="preserve"># Cisco WLC / Catalyst Center SSID configuration (CLI equivalent)</w:t>
      </w:r>
      <w:r>
        <w:br/>
      </w:r>
      <w:r>
        <w:rPr>
          <w:rStyle w:val="VerbatimChar"/>
        </w:rPr>
        <w:t xml:space="preserve">wlan Agency-Managed 1 Agency-Managed</w:t>
      </w:r>
      <w:r>
        <w:br/>
      </w:r>
      <w:r>
        <w:rPr>
          <w:rStyle w:val="VerbatimChar"/>
        </w:rPr>
        <w:t xml:space="preserve"> security wpa wpa3</w:t>
      </w:r>
      <w:r>
        <w:br/>
      </w:r>
      <w:r>
        <w:rPr>
          <w:rStyle w:val="VerbatimChar"/>
        </w:rPr>
        <w:t xml:space="preserve"> security wpa akm dot1x</w:t>
      </w:r>
      <w:r>
        <w:br/>
      </w:r>
      <w:r>
        <w:rPr>
          <w:rStyle w:val="VerbatimChar"/>
        </w:rPr>
        <w:t xml:space="preserve"> security dot1x eap-profile Agency-EAP-TLS</w:t>
      </w:r>
      <w:r>
        <w:br/>
      </w:r>
      <w:r>
        <w:rPr>
          <w:rStyle w:val="VerbatimChar"/>
        </w:rPr>
        <w:t xml:space="preserve"> no security wpa wpa2</w:t>
      </w:r>
      <w:r>
        <w:br/>
      </w:r>
      <w:r>
        <w:rPr>
          <w:rStyle w:val="VerbatimChar"/>
        </w:rPr>
        <w:t xml:space="preserve"> radio policy dot11 6ghz</w:t>
      </w:r>
      <w:r>
        <w:br/>
      </w:r>
      <w:r>
        <w:rPr>
          <w:rStyle w:val="VerbatimChar"/>
        </w:rPr>
        <w:t xml:space="preserve"> radio policy dot11 5ghz</w:t>
      </w:r>
      <w:r>
        <w:br/>
      </w:r>
      <w:r>
        <w:rPr>
          <w:rStyle w:val="VerbatimChar"/>
        </w:rPr>
        <w:t xml:space="preserve"> radio policy dot11 24ghz</w:t>
      </w:r>
      <w:r>
        <w:br/>
      </w:r>
      <w:r>
        <w:rPr>
          <w:rStyle w:val="VerbatimChar"/>
        </w:rPr>
        <w:t xml:space="preserve"> no shutdown</w:t>
      </w:r>
    </w:p>
    <w:p>
      <w:pPr>
        <w:pStyle w:val="FirstParagraph"/>
      </w:pPr>
      <w:r>
        <w:t xml:space="preserve">The WPA3-Enterprise SSID presents the RADIUS server certificate to the supplicant during EAP-TLS negotiation. The Windows 802.1X supplicant (configured via Intune) is set to validate the server certificate against a pinned root CA — the Microsoft Cloud PKI root, or the agency AD CS root, per the deployed issuance path. A rogue access point presenting a different certificate is rejected by the supplicant, preventing credential theft or session hijacking even if the rogue AP has the same SSID name.</w:t>
      </w:r>
    </w:p>
    <w:bookmarkEnd w:id="35"/>
    <w:bookmarkStart w:id="36" w:name="session-timeout-and-re-authentication"/>
    <w:p>
      <w:pPr>
        <w:pStyle w:val="Heading2"/>
      </w:pPr>
      <w:r>
        <w:t xml:space="preserve">8.3 Session Timeout and Re-Authentication</w:t>
      </w:r>
    </w:p>
    <w:p>
      <w:pPr>
        <w:pStyle w:val="FirstParagraph"/>
      </w:pPr>
      <w:r>
        <w:t xml:space="preserve">NPS Network Policy sets the following session parameters:</w:t>
      </w:r>
    </w:p>
    <w:tbl>
      <w:tblPr>
        <w:tblStyle w:val="Table"/>
        <w:tblW w:type="pct" w:w="5000"/>
        <w:tblLayout w:type="fixed"/>
        <w:tblLook w:firstRow="1" w:lastRow="0" w:firstColumn="0" w:lastColumn="0" w:noHBand="0" w:noVBand="0" w:val="0020"/>
      </w:tblPr>
      <w:tblGrid>
        <w:gridCol w:w="3004"/>
        <w:gridCol w:w="1911"/>
        <w:gridCol w:w="3004"/>
      </w:tblGrid>
      <w:tr>
        <w:trPr>
          <w:tblHeader w:val="on"/>
        </w:trPr>
        <w:tc>
          <w:tcPr/>
          <w:p>
            <w:pPr>
              <w:pStyle w:val="Compact"/>
            </w:pPr>
            <w:r>
              <w:t xml:space="preserve">Parameter</w:t>
            </w:r>
          </w:p>
        </w:tc>
        <w:tc>
          <w:tcPr/>
          <w:p>
            <w:pPr>
              <w:pStyle w:val="Compact"/>
            </w:pPr>
            <w:r>
              <w:t xml:space="preserve">Value</w:t>
            </w:r>
          </w:p>
        </w:tc>
        <w:tc>
          <w:tcPr/>
          <w:p>
            <w:pPr>
              <w:pStyle w:val="Compact"/>
            </w:pPr>
            <w:r>
              <w:t xml:space="preserve">Rationale</w:t>
            </w:r>
          </w:p>
        </w:tc>
      </w:tr>
      <w:tr>
        <w:tc>
          <w:tcPr/>
          <w:p>
            <w:pPr>
              <w:pStyle w:val="Compact"/>
            </w:pPr>
            <w:r>
              <w:t xml:space="preserve">Session-Timeout</w:t>
            </w:r>
          </w:p>
        </w:tc>
        <w:tc>
          <w:tcPr/>
          <w:p>
            <w:pPr>
              <w:pStyle w:val="Compact"/>
            </w:pPr>
            <w:r>
              <w:t xml:space="preserve">28800 (8 hours)</w:t>
            </w:r>
          </w:p>
        </w:tc>
        <w:tc>
          <w:tcPr/>
          <w:p>
            <w:pPr>
              <w:pStyle w:val="Compact"/>
            </w:pPr>
            <w:r>
              <w:t xml:space="preserve">Re-auth once per work shift; balance between security and overhead</w:t>
            </w:r>
          </w:p>
        </w:tc>
      </w:tr>
      <w:tr>
        <w:tc>
          <w:tcPr/>
          <w:p>
            <w:pPr>
              <w:pStyle w:val="Compact"/>
            </w:pPr>
            <w:r>
              <w:t xml:space="preserve">Termination-Action</w:t>
            </w:r>
          </w:p>
        </w:tc>
        <w:tc>
          <w:tcPr/>
          <w:p>
            <w:pPr>
              <w:pStyle w:val="Compact"/>
            </w:pPr>
            <w:r>
              <w:t xml:space="preserve">RADIUS-Request</w:t>
            </w:r>
          </w:p>
        </w:tc>
        <w:tc>
          <w:tcPr/>
          <w:p>
            <w:pPr>
              <w:pStyle w:val="Compact"/>
            </w:pPr>
            <w:r>
              <w:t xml:space="preserve">Re-authenticate (not disconnect) on timeout</w:t>
            </w:r>
          </w:p>
        </w:tc>
      </w:tr>
      <w:tr>
        <w:tc>
          <w:tcPr/>
          <w:p>
            <w:pPr>
              <w:pStyle w:val="Compact"/>
            </w:pPr>
            <w:r>
              <w:t xml:space="preserve">Idle-Timeout</w:t>
            </w:r>
          </w:p>
        </w:tc>
        <w:tc>
          <w:tcPr/>
          <w:p>
            <w:pPr>
              <w:pStyle w:val="Compact"/>
            </w:pPr>
            <w:r>
              <w:t xml:space="preserve">1800 (30 min)</w:t>
            </w:r>
          </w:p>
        </w:tc>
        <w:tc>
          <w:tcPr/>
          <w:p>
            <w:pPr>
              <w:pStyle w:val="Compact"/>
            </w:pPr>
            <w:r>
              <w:t xml:space="preserve">Disconnect inactive ports (unattended devices, power-off)</w:t>
            </w:r>
          </w:p>
        </w:tc>
      </w:tr>
    </w:tbl>
    <w:p>
      <w:pPr>
        <w:pStyle w:val="BodyText"/>
      </w:pPr>
      <w:r>
        <w:t xml:space="preserve">Re-authentication at 8 hours forces the RADIUS server to re-check certificate validity and Intune compliance at least once per shift, even without a CoA event. A device that was compliant at 08:00 but failed a compliance check at 14:00 will be moved to the Remediation VLAN no later than 16:00 (next re-auth) in the worst case, or within roughly 20 minutes of Intune registering the state change if the CoA agent is operational (Intune’s evaluation itself can lag the on-device change by hours — the re-auth interval is the unconditional bound).</w:t>
      </w:r>
    </w:p>
    <w:bookmarkEnd w:id="36"/>
    <w:bookmarkEnd w:id="37"/>
    <w:bookmarkStart w:id="42" w:name="infoblox-integration"/>
    <w:p>
      <w:pPr>
        <w:pStyle w:val="Heading1"/>
      </w:pPr>
      <w:r>
        <w:t xml:space="preserve">9. InfoBlox Integration</w:t>
      </w:r>
    </w:p>
    <w:bookmarkStart w:id="38" w:name="dhcp-fingerprinting-and-device-profiling"/>
    <w:p>
      <w:pPr>
        <w:pStyle w:val="Heading2"/>
      </w:pPr>
      <w:r>
        <w:t xml:space="preserve">9.1 DHCP Fingerprinting and Device Profiling</w:t>
      </w:r>
    </w:p>
    <w:p>
      <w:pPr>
        <w:pStyle w:val="FirstParagraph"/>
      </w:pPr>
      <w:r>
        <w:t xml:space="preserve">InfoBlox DDI (deployed in Vol I Book 01) integrates with NAC to provide device profiling — classifying devices by DHCP fingerprint (the pattern of DHCP options requested by a device) before or in parallel with 802.1X authentication. This serves two purposes:</w:t>
      </w:r>
    </w:p>
    <w:p>
      <w:pPr>
        <w:numPr>
          <w:ilvl w:val="0"/>
          <w:numId w:val="1014"/>
        </w:numPr>
      </w:pPr>
      <w:r>
        <w:rPr>
          <w:b/>
          <w:bCs/>
        </w:rPr>
        <w:t xml:space="preserve">IoT / OT device identification</w:t>
      </w:r>
      <w:r>
        <w:t xml:space="preserve"> </w:t>
      </w:r>
      <w:r>
        <w:t xml:space="preserve">— devices that cannot participate in 802.1X are identified by their DHCP fingerprint (e.g., a Cisco IP phone requests specific DHCP options that match its device class). InfoBlox Grid feeds the device classification to the RADIUS server, enabling the NPS MAB policy to assign the correct VLAN based on device type rather than relying solely on MAC OUI lookup.</w:t>
      </w:r>
    </w:p>
    <w:p>
      <w:pPr>
        <w:numPr>
          <w:ilvl w:val="0"/>
          <w:numId w:val="1014"/>
        </w:numPr>
      </w:pPr>
      <w:r>
        <w:rPr>
          <w:b/>
          <w:bCs/>
        </w:rPr>
        <w:t xml:space="preserve">Anomaly detection</w:t>
      </w:r>
      <w:r>
        <w:t xml:space="preserve"> </w:t>
      </w:r>
      <w:r>
        <w:t xml:space="preserve">— a device that presents a valid Agency machine certificate but whose DHCP fingerprint does not match any known Windows/macOS pattern (e.g., a Linux system or Android device) generates an alert in Sentinel. This catches cases where a valid certificate has been extracted from a managed device and installed on an unauthorized system.</w:t>
      </w:r>
    </w:p>
    <w:bookmarkEnd w:id="38"/>
    <w:bookmarkStart w:id="41" w:name="ipam-driven-vlan-assignment"/>
    <w:p>
      <w:pPr>
        <w:pStyle w:val="Heading2"/>
      </w:pPr>
      <w:r>
        <w:t xml:space="preserve">9.2 IPAM-Driven VLAN Assignment</w:t>
      </w:r>
    </w:p>
    <w:p>
      <w:pPr>
        <w:pStyle w:val="FirstParagraph"/>
      </w:pPr>
      <w:r>
        <w:t xml:space="preserve">InfoBlox IPAM maintains the authoritative mapping of VLAN → IP address range → network policy. When NPS assigns a device to a VLAN, InfoBlox DHCP serves the address from the correct scope and records the assignment in the IPAM database. The IPAM record links:</w:t>
      </w:r>
    </w:p>
    <w:p>
      <w:pPr>
        <w:pStyle w:val="Compact"/>
        <w:numPr>
          <w:ilvl w:val="0"/>
          <w:numId w:val="1015"/>
        </w:numPr>
      </w:pPr>
      <w:r>
        <w:t xml:space="preserve">Device MAC address</w:t>
      </w:r>
    </w:p>
    <w:p>
      <w:pPr>
        <w:pStyle w:val="Compact"/>
        <w:numPr>
          <w:ilvl w:val="0"/>
          <w:numId w:val="1015"/>
        </w:numPr>
      </w:pPr>
      <w:r>
        <w:t xml:space="preserve">Device DNS name (from the Entra ID device object)</w:t>
      </w:r>
    </w:p>
    <w:p>
      <w:pPr>
        <w:pStyle w:val="Compact"/>
        <w:numPr>
          <w:ilvl w:val="0"/>
          <w:numId w:val="1015"/>
        </w:numPr>
      </w:pPr>
      <w:r>
        <w:t xml:space="preserve">Assigned VLAN and IP address</w:t>
      </w:r>
    </w:p>
    <w:p>
      <w:pPr>
        <w:pStyle w:val="Compact"/>
        <w:numPr>
          <w:ilvl w:val="0"/>
          <w:numId w:val="1015"/>
        </w:numPr>
      </w:pPr>
      <w:r>
        <w:t xml:space="preserve">Assignment timestamp and lease duration</w:t>
      </w:r>
    </w:p>
    <w:p>
      <w:pPr>
        <w:pStyle w:val="Compact"/>
        <w:numPr>
          <w:ilvl w:val="0"/>
          <w:numId w:val="1015"/>
        </w:numPr>
      </w:pPr>
      <w:r>
        <w:t xml:space="preserve">NAC authentication result (certificate SAN, compliance verdict)</w:t>
      </w:r>
    </w:p>
    <w:p>
      <w:pPr>
        <w:pStyle w:val="FirstParagraph"/>
      </w:pPr>
      <w:r>
        <w:t xml:space="preserve">This record is the</w:t>
      </w:r>
      <w:r>
        <w:t xml:space="preserve"> </w:t>
      </w:r>
      <w:r>
        <w:rPr>
          <w:b/>
          <w:bCs/>
        </w:rPr>
        <w:t xml:space="preserve">CM-8 device inventory artifact</w:t>
      </w:r>
      <w:r>
        <w:t xml:space="preserve"> </w:t>
      </w:r>
      <w:r>
        <w:t xml:space="preserve">for NAC-controlled devices. Every device that has ever connected to the Agency network — managed or not — has a DHCP record in InfoBlox. The NAC authentication result annotates the record with the identity assertion that was presented (or absent).</w:t>
      </w:r>
    </w:p>
    <w:p>
      <w:pPr>
        <w:pStyle w:val="BodyText"/>
      </w:pPr>
      <w:r>
        <w:rPr>
          <w:b/>
          <w:bCs/>
        </w:rPr>
        <w:t xml:space="preserve">Cross-Book Link — DNS Hostname + Certificate Binding at NAC Admission (Vol I Books 01 and 03):</w:t>
      </w:r>
      <w:r>
        <w:t xml:space="preserve"> </w:t>
      </w:r>
      <w:r>
        <w:t xml:space="preserve">For every NAC-admitted endpoint, two compound events should occur together at admission:</w:t>
      </w:r>
    </w:p>
    <w:p>
      <w:pPr>
        <w:pStyle w:val="Compact"/>
        <w:numPr>
          <w:ilvl w:val="0"/>
          <w:numId w:val="1016"/>
        </w:numPr>
      </w:pPr>
      <w:r>
        <w:rPr>
          <w:b/>
          <w:bCs/>
        </w:rPr>
        <w:t xml:space="preserve">Machine certificate issued</w:t>
      </w:r>
      <w:r>
        <w:t xml:space="preserve"> </w:t>
      </w:r>
      <w:r>
        <w:t xml:space="preserve">— Intune/SCEP enrollment (this book) issues a machine certificate with</w:t>
      </w:r>
      <w:r>
        <w:t xml:space="preserve"> </w:t>
      </w:r>
      <w:r>
        <w:rPr>
          <w:rStyle w:val="VerbatimChar"/>
        </w:rPr>
        <w:t xml:space="preserve">CN={{DeviceName}}</w:t>
      </w:r>
      <w:r>
        <w:t xml:space="preserve">. The certificate SAN is bound to the device’s Entra ID FQDN.</w:t>
      </w:r>
    </w:p>
    <w:p>
      <w:pPr>
        <w:pStyle w:val="Compact"/>
        <w:numPr>
          <w:ilvl w:val="0"/>
          <w:numId w:val="1016"/>
        </w:numPr>
      </w:pPr>
      <w:r>
        <w:rPr>
          <w:b/>
          <w:bCs/>
        </w:rPr>
        <w:t xml:space="preserve">DNS A/PTR record confirmed in InfoBlox</w:t>
      </w:r>
      <w:r>
        <w:t xml:space="preserve"> </w:t>
      </w:r>
      <w:r>
        <w:t xml:space="preserve">— the DHCP lease assignment (this section) should trigger InfoBlox to confirm or create a DNS A record binding the device’s hostname to its assigned IP address.</w:t>
      </w:r>
    </w:p>
    <w:p>
      <w:pPr>
        <w:pStyle w:val="FirstParagraph"/>
      </w:pPr>
      <w:r>
        <w:t xml:space="preserve">When both events complete, every NAC-admitted device has</w:t>
      </w:r>
      <w:r>
        <w:t xml:space="preserve"> </w:t>
      </w:r>
      <w:r>
        <w:rPr>
          <w:b/>
          <w:bCs/>
        </w:rPr>
        <w:t xml:space="preserve">name, address, and key bound together</w:t>
      </w:r>
      <w:r>
        <w:t xml:space="preserve"> </w:t>
      </w:r>
      <w:r>
        <w:t xml:space="preserve">— the same compound guarantee that</w:t>
      </w:r>
      <w:r>
        <w:t xml:space="preserve"> </w:t>
      </w:r>
      <w:hyperlink r:id="rId39">
        <w:r>
          <w:rPr>
            <w:rStyle w:val="Hyperlink"/>
          </w:rPr>
          <w:t xml:space="preserve">Vol I Book 01</w:t>
        </w:r>
      </w:hyperlink>
      <w:r>
        <w:t xml:space="preserve"> </w:t>
      </w:r>
      <w:r>
        <w:t xml:space="preserve">achieves for cloud workloads at provisioning time, extended to the endpoint population. The machine certificate architecture is generalized in</w:t>
      </w:r>
      <w:r>
        <w:t xml:space="preserve"> </w:t>
      </w:r>
      <w:hyperlink r:id="rId40">
        <w:r>
          <w:rPr>
            <w:rStyle w:val="Hyperlink"/>
          </w:rPr>
          <w:t xml:space="preserve">Vol I Book 03</w:t>
        </w:r>
      </w:hyperlink>
      <w:r>
        <w:t xml:space="preserve">. The design decision for the hostname-to-cert binding must be validated with OIS.</w:t>
      </w:r>
    </w:p>
    <w:bookmarkEnd w:id="41"/>
    <w:bookmarkEnd w:id="42"/>
    <w:bookmarkStart w:id="45" w:name="logging-and-monitoring"/>
    <w:p>
      <w:pPr>
        <w:pStyle w:val="Heading1"/>
      </w:pPr>
      <w:r>
        <w:t xml:space="preserve">10. Logging and Monitoring</w:t>
      </w:r>
    </w:p>
    <w:bookmarkStart w:id="43" w:name="radius-accounting-to-sentinel"/>
    <w:p>
      <w:pPr>
        <w:pStyle w:val="Heading2"/>
      </w:pPr>
      <w:r>
        <w:t xml:space="preserve">10.1 RADIUS Accounting to Sentinel</w:t>
      </w:r>
    </w:p>
    <w:p>
      <w:pPr>
        <w:pStyle w:val="FirstParagraph"/>
      </w:pPr>
      <w:r>
        <w:t xml:space="preserve">NPS RADIUS Accounting sends a record for every authentication event — Start, Interim-Update, and Stop — to a Log Analytics workspace via the NPS RADIUS accounting log forwarding. The events include:</w:t>
      </w:r>
    </w:p>
    <w:p>
      <w:pPr>
        <w:pStyle w:val="Compact"/>
        <w:numPr>
          <w:ilvl w:val="0"/>
          <w:numId w:val="1017"/>
        </w:numPr>
      </w:pPr>
      <w:r>
        <w:t xml:space="preserve">Device MAC address (Calling-Station-Id)</w:t>
      </w:r>
    </w:p>
    <w:p>
      <w:pPr>
        <w:pStyle w:val="Compact"/>
        <w:numPr>
          <w:ilvl w:val="0"/>
          <w:numId w:val="1017"/>
        </w:numPr>
      </w:pPr>
      <w:r>
        <w:t xml:space="preserve">Switch IP and port (NAS-IP-Address, NAS-Port)</w:t>
      </w:r>
    </w:p>
    <w:p>
      <w:pPr>
        <w:pStyle w:val="Compact"/>
        <w:numPr>
          <w:ilvl w:val="0"/>
          <w:numId w:val="1017"/>
        </w:numPr>
      </w:pPr>
      <w:r>
        <w:t xml:space="preserve">Authentication result (Access-Accept / Access-Reject)</w:t>
      </w:r>
    </w:p>
    <w:p>
      <w:pPr>
        <w:pStyle w:val="Compact"/>
        <w:numPr>
          <w:ilvl w:val="0"/>
          <w:numId w:val="1017"/>
        </w:numPr>
      </w:pPr>
      <w:r>
        <w:t xml:space="preserve">VLAN assigned (Tunnel-Private-Group-ID)</w:t>
      </w:r>
    </w:p>
    <w:p>
      <w:pPr>
        <w:pStyle w:val="Compact"/>
        <w:numPr>
          <w:ilvl w:val="0"/>
          <w:numId w:val="1017"/>
        </w:numPr>
      </w:pPr>
      <w:r>
        <w:t xml:space="preserve">Reason for rejection (if applicable)</w:t>
      </w:r>
    </w:p>
    <w:p>
      <w:pPr>
        <w:pStyle w:val="Compact"/>
        <w:numPr>
          <w:ilvl w:val="0"/>
          <w:numId w:val="1017"/>
        </w:numPr>
      </w:pPr>
      <w:r>
        <w:t xml:space="preserve">Certificate SAN (User-Name attribute in EAP-TLS)</w:t>
      </w:r>
    </w:p>
    <w:p>
      <w:pPr>
        <w:pStyle w:val="Compact"/>
        <w:numPr>
          <w:ilvl w:val="0"/>
          <w:numId w:val="1017"/>
        </w:numPr>
      </w:pPr>
      <w:r>
        <w:t xml:space="preserve">Session duration</w:t>
      </w:r>
    </w:p>
    <w:p>
      <w:pPr>
        <w:pStyle w:val="FirstParagraph"/>
      </w:pPr>
      <w:r>
        <w:t xml:space="preserve">These events are the</w:t>
      </w:r>
      <w:r>
        <w:t xml:space="preserve"> </w:t>
      </w:r>
      <w:r>
        <w:rPr>
          <w:b/>
          <w:bCs/>
        </w:rPr>
        <w:t xml:space="preserve">IA-3 control evidence artifact</w:t>
      </w:r>
      <w:r>
        <w:t xml:space="preserve"> </w:t>
      </w:r>
      <w:r>
        <w:t xml:space="preserve">— a complete audit trail of every device identity assertion and its outcome.</w:t>
      </w:r>
    </w:p>
    <w:bookmarkEnd w:id="43"/>
    <w:bookmarkStart w:id="44" w:name="sentinel-analytics-rules-for-nac"/>
    <w:p>
      <w:pPr>
        <w:pStyle w:val="Heading2"/>
      </w:pPr>
      <w:r>
        <w:t xml:space="preserve">10.2 Sentinel Analytics Rules for NAC</w:t>
      </w:r>
    </w:p>
    <w:p>
      <w:pPr>
        <w:pStyle w:val="SourceCode"/>
      </w:pPr>
      <w:r>
        <w:rPr>
          <w:rStyle w:val="VerbatimChar"/>
        </w:rPr>
        <w:t xml:space="preserve">// Alert: device admitted to production VLAN without Intune compliance</w:t>
      </w:r>
      <w:r>
        <w:br/>
      </w:r>
      <w:r>
        <w:rPr>
          <w:rStyle w:val="VerbatimChar"/>
        </w:rPr>
        <w:t xml:space="preserve">Event</w:t>
      </w:r>
      <w:r>
        <w:br/>
      </w:r>
      <w:r>
        <w:rPr>
          <w:rStyle w:val="VerbatimChar"/>
        </w:rPr>
        <w:t xml:space="preserve">| where Source == "NPS"</w:t>
      </w:r>
      <w:r>
        <w:br/>
      </w:r>
      <w:r>
        <w:rPr>
          <w:rStyle w:val="VerbatimChar"/>
        </w:rPr>
        <w:t xml:space="preserve">| extend vlan = extract("Tunnel-Private-Group-ID=([0-9]+)", 1, RenderedDescription)</w:t>
      </w:r>
      <w:r>
        <w:br/>
      </w:r>
      <w:r>
        <w:rPr>
          <w:rStyle w:val="VerbatimChar"/>
        </w:rPr>
        <w:t xml:space="preserve">| extend certSAN = extract("User-Name=([^;]+)", 1, RenderedDescription)</w:t>
      </w:r>
      <w:r>
        <w:br/>
      </w:r>
      <w:r>
        <w:rPr>
          <w:rStyle w:val="VerbatimChar"/>
        </w:rPr>
        <w:t xml:space="preserve">| where vlan in ("100", "101", "102", "110", "120")  // production VLANs</w:t>
      </w:r>
      <w:r>
        <w:br/>
      </w:r>
      <w:r>
        <w:rPr>
          <w:rStyle w:val="VerbatimChar"/>
        </w:rPr>
        <w:t xml:space="preserve">| join kind=leftouter (</w:t>
      </w:r>
      <w:r>
        <w:br/>
      </w:r>
      <w:r>
        <w:rPr>
          <w:rStyle w:val="VerbatimChar"/>
        </w:rPr>
        <w:t xml:space="preserve">    IntuneDeviceComplianceOrg</w:t>
      </w:r>
      <w:r>
        <w:br/>
      </w:r>
      <w:r>
        <w:rPr>
          <w:rStyle w:val="VerbatimChar"/>
        </w:rPr>
        <w:t xml:space="preserve">    | where ComplianceState != "compliant"</w:t>
      </w:r>
      <w:r>
        <w:br/>
      </w:r>
      <w:r>
        <w:rPr>
          <w:rStyle w:val="VerbatimChar"/>
        </w:rPr>
        <w:t xml:space="preserve">    | project DeviceId, ComplianceState</w:t>
      </w:r>
      <w:r>
        <w:br/>
      </w:r>
      <w:r>
        <w:rPr>
          <w:rStyle w:val="VerbatimChar"/>
        </w:rPr>
        <w:t xml:space="preserve">  ) on $left.certSAN == $right.DeviceId</w:t>
      </w:r>
      <w:r>
        <w:br/>
      </w:r>
      <w:r>
        <w:rPr>
          <w:rStyle w:val="VerbatimChar"/>
        </w:rPr>
        <w:t xml:space="preserve">| where isnotempty(ComplianceState)</w:t>
      </w:r>
      <w:r>
        <w:br/>
      </w:r>
      <w:r>
        <w:rPr>
          <w:rStyle w:val="VerbatimChar"/>
        </w:rPr>
        <w:t xml:space="preserve">| project TimeGenerated, certSAN, vlan, ComplianceState</w:t>
      </w:r>
    </w:p>
    <w:p>
      <w:pPr>
        <w:pStyle w:val="SourceCode"/>
      </w:pPr>
      <w:r>
        <w:rPr>
          <w:rStyle w:val="VerbatimChar"/>
        </w:rPr>
        <w:t xml:space="preserve">// Alert: repeated 802.1X failures (possible rogue device or cert expiry)</w:t>
      </w:r>
      <w:r>
        <w:br/>
      </w:r>
      <w:r>
        <w:rPr>
          <w:rStyle w:val="VerbatimChar"/>
        </w:rPr>
        <w:t xml:space="preserve">Event</w:t>
      </w:r>
      <w:r>
        <w:br/>
      </w:r>
      <w:r>
        <w:rPr>
          <w:rStyle w:val="VerbatimChar"/>
        </w:rPr>
        <w:t xml:space="preserve">| where Source == "NPS"</w:t>
      </w:r>
      <w:r>
        <w:br/>
      </w:r>
      <w:r>
        <w:rPr>
          <w:rStyle w:val="VerbatimChar"/>
        </w:rPr>
        <w:t xml:space="preserve">| where RenderedDescription contains "Access-Reject"</w:t>
      </w:r>
      <w:r>
        <w:br/>
      </w:r>
      <w:r>
        <w:rPr>
          <w:rStyle w:val="VerbatimChar"/>
        </w:rPr>
        <w:t xml:space="preserve">| extend mac = extract("Calling-Station-Id=([0-9A-F:-]+)", 1, RenderedDescription)</w:t>
      </w:r>
      <w:r>
        <w:br/>
      </w:r>
      <w:r>
        <w:rPr>
          <w:rStyle w:val="VerbatimChar"/>
        </w:rPr>
        <w:t xml:space="preserve">| summarize FailCount = count, Ports = make_set(NASPort) by mac, bin(TimeGenerated, 1h)</w:t>
      </w:r>
      <w:r>
        <w:br/>
      </w:r>
      <w:r>
        <w:rPr>
          <w:rStyle w:val="VerbatimChar"/>
        </w:rPr>
        <w:t xml:space="preserve">| where FailCount &gt;= 5</w:t>
      </w:r>
      <w:r>
        <w:br/>
      </w:r>
      <w:r>
        <w:rPr>
          <w:rStyle w:val="VerbatimChar"/>
        </w:rPr>
        <w:t xml:space="preserve">| project TimeGenerated, mac, FailCount, Ports</w:t>
      </w:r>
    </w:p>
    <w:p>
      <w:pPr>
        <w:pStyle w:val="SourceCode"/>
      </w:pPr>
      <w:r>
        <w:rPr>
          <w:rStyle w:val="VerbatimChar"/>
        </w:rPr>
        <w:t xml:space="preserve">// Alert: certificate fingerprint mismatch (possible cert theft + replay)</w:t>
      </w:r>
      <w:r>
        <w:br/>
      </w:r>
      <w:r>
        <w:rPr>
          <w:rStyle w:val="VerbatimChar"/>
        </w:rPr>
        <w:t xml:space="preserve">NpsRadius_CL</w:t>
      </w:r>
      <w:r>
        <w:br/>
      </w:r>
      <w:r>
        <w:rPr>
          <w:rStyle w:val="VerbatimChar"/>
        </w:rPr>
        <w:t xml:space="preserve">| extend certSAN = extract("User-Name=([^;]+)", 1, RawData)</w:t>
      </w:r>
      <w:r>
        <w:br/>
      </w:r>
      <w:r>
        <w:rPr>
          <w:rStyle w:val="VerbatimChar"/>
        </w:rPr>
        <w:t xml:space="preserve">| extend macAddr = extract("Calling-Station-Id=([^;]+)", 1, RawData)</w:t>
      </w:r>
      <w:r>
        <w:br/>
      </w:r>
      <w:r>
        <w:rPr>
          <w:rStyle w:val="VerbatimChar"/>
        </w:rPr>
        <w:t xml:space="preserve">| join kind=inner (</w:t>
      </w:r>
      <w:r>
        <w:br/>
      </w:r>
      <w:r>
        <w:rPr>
          <w:rStyle w:val="VerbatimChar"/>
        </w:rPr>
        <w:t xml:space="preserve">    EntraDevices</w:t>
      </w:r>
      <w:r>
        <w:br/>
      </w:r>
      <w:r>
        <w:rPr>
          <w:rStyle w:val="VerbatimChar"/>
        </w:rPr>
        <w:t xml:space="preserve">    | project DeviceId, ExpectedMac = PhysicalIds</w:t>
      </w:r>
      <w:r>
        <w:br/>
      </w:r>
      <w:r>
        <w:rPr>
          <w:rStyle w:val="VerbatimChar"/>
        </w:rPr>
        <w:t xml:space="preserve">  ) on $left.certSAN == $right.DeviceId</w:t>
      </w:r>
      <w:r>
        <w:br/>
      </w:r>
      <w:r>
        <w:rPr>
          <w:rStyle w:val="VerbatimChar"/>
        </w:rPr>
        <w:t xml:space="preserve">| where not(macAddr in (ExpectedMac))</w:t>
      </w:r>
      <w:r>
        <w:br/>
      </w:r>
      <w:r>
        <w:rPr>
          <w:rStyle w:val="VerbatimChar"/>
        </w:rPr>
        <w:t xml:space="preserve">| project TimeGenerated, certSAN, macAddr, ExpectedMac</w:t>
      </w:r>
      <w:r>
        <w:br/>
      </w:r>
      <w:r>
        <w:rPr>
          <w:rStyle w:val="VerbatimChar"/>
        </w:rPr>
        <w:t xml:space="preserve">| extend AlertSeverity = "High"</w:t>
      </w:r>
    </w:p>
    <w:p>
      <w:pPr>
        <w:pStyle w:val="FirstParagraph"/>
      </w:pPr>
      <w:r>
        <w:t xml:space="preserve">The certificate fingerprint mismatch rule is the operational detection for certificate theft: if a valid device certificate is presented from a MAC address that does not match the enrolled device’s MAC, Sentinel generates a High-severity alert and the CoA agent immediately quarantines the port.</w:t>
      </w:r>
    </w:p>
    <w:bookmarkEnd w:id="44"/>
    <w:bookmarkEnd w:id="45"/>
    <w:bookmarkStart w:id="50" w:name="phased-implementation"/>
    <w:p>
      <w:pPr>
        <w:pStyle w:val="Heading1"/>
      </w:pPr>
      <w:r>
        <w:t xml:space="preserve">11. Phased Implementation</w:t>
      </w:r>
    </w:p>
    <w:p>
      <w:pPr>
        <w:pStyle w:val="FirstParagraph"/>
      </w:pPr>
      <w:r>
        <w:t xml:space="preserve">Deploying 802.1X across an existing federal environment requires a phased approach. Enabling enforcement before all devices are enrolled results in a network outage — printers, badge readers, and other non-802.1X devices lose connectivity. The standard federal NAC deployment sequence is four phases over 90–180 days.</w:t>
      </w:r>
    </w:p>
    <w:bookmarkStart w:id="46" w:name="phase-1-monitor-mode-weeks-14"/>
    <w:p>
      <w:pPr>
        <w:pStyle w:val="Heading2"/>
      </w:pPr>
      <w:r>
        <w:t xml:space="preserve">11.1 Phase 1 — Monitor Mode (Weeks 1–4)</w:t>
      </w:r>
    </w:p>
    <w:p>
      <w:pPr>
        <w:pStyle w:val="FirstParagraph"/>
      </w:pPr>
      <w:r>
        <w:t xml:space="preserve">Configure 802.1X on all ports in</w:t>
      </w:r>
      <w:r>
        <w:t xml:space="preserve"> </w:t>
      </w:r>
      <w:r>
        <w:rPr>
          <w:b/>
          <w:bCs/>
        </w:rPr>
        <w:t xml:space="preserve">open mode</w:t>
      </w:r>
      <w:r>
        <w:t xml:space="preserve"> </w:t>
      </w:r>
      <w:r>
        <w:t xml:space="preserve">(</w:t>
      </w:r>
      <w:r>
        <w:rPr>
          <w:rStyle w:val="VerbatimChar"/>
        </w:rPr>
        <w:t xml:space="preserve">authentication open</w:t>
      </w:r>
      <w:r>
        <w:t xml:space="preserve"> </w:t>
      </w:r>
      <w:r>
        <w:t xml:space="preserve">on Cisco IOS-XE). In open mode:</w:t>
      </w:r>
    </w:p>
    <w:p>
      <w:pPr>
        <w:pStyle w:val="Compact"/>
        <w:numPr>
          <w:ilvl w:val="0"/>
          <w:numId w:val="1018"/>
        </w:numPr>
      </w:pPr>
      <w:r>
        <w:t xml:space="preserve">The 802.1X authentication exchange occurs normally.</w:t>
      </w:r>
    </w:p>
    <w:p>
      <w:pPr>
        <w:pStyle w:val="Compact"/>
        <w:numPr>
          <w:ilvl w:val="0"/>
          <w:numId w:val="1018"/>
        </w:numPr>
      </w:pPr>
      <w:r>
        <w:t xml:space="preserve">RADIUS returns Accept or Reject based on certificate validation and compliance.</w:t>
      </w:r>
    </w:p>
    <w:p>
      <w:pPr>
        <w:pStyle w:val="Compact"/>
        <w:numPr>
          <w:ilvl w:val="0"/>
          <w:numId w:val="1018"/>
        </w:numPr>
      </w:pPr>
      <w:r>
        <w:t xml:space="preserve">The switch</w:t>
      </w:r>
      <w:r>
        <w:t xml:space="preserve"> </w:t>
      </w:r>
      <w:r>
        <w:rPr>
          <w:b/>
          <w:bCs/>
        </w:rPr>
        <w:t xml:space="preserve">ignores the Reject</w:t>
      </w:r>
      <w:r>
        <w:t xml:space="preserve"> </w:t>
      </w:r>
      <w:r>
        <w:t xml:space="preserve">— all devices receive network access regardless of authentication result.</w:t>
      </w:r>
    </w:p>
    <w:p>
      <w:pPr>
        <w:pStyle w:val="Compact"/>
        <w:numPr>
          <w:ilvl w:val="0"/>
          <w:numId w:val="1018"/>
        </w:numPr>
      </w:pPr>
      <w:r>
        <w:t xml:space="preserve">All authentication events are logged to Sentinel.</w:t>
      </w:r>
    </w:p>
    <w:p>
      <w:pPr>
        <w:pStyle w:val="FirstParagraph"/>
      </w:pPr>
      <w:r>
        <w:t xml:space="preserve">The purpose of Phase 1 is discovery: identify every device that fails authentication (no certificate, expired certificate, non-compliant) before enforcement is enabled. This produces the inventory that informs the exception list for Phases 2–4.</w:t>
      </w:r>
    </w:p>
    <w:p>
      <w:pPr>
        <w:pStyle w:val="BodyText"/>
      </w:pPr>
      <w:r>
        <w:t xml:space="preserve">At the end of Phase 1, produce a report:</w:t>
      </w:r>
    </w:p>
    <w:p>
      <w:pPr>
        <w:pStyle w:val="Compact"/>
        <w:numPr>
          <w:ilvl w:val="0"/>
          <w:numId w:val="1019"/>
        </w:numPr>
      </w:pPr>
      <w:r>
        <w:t xml:space="preserve">Count of devices that passed EAP-TLS with compliant status</w:t>
      </w:r>
    </w:p>
    <w:p>
      <w:pPr>
        <w:pStyle w:val="Compact"/>
        <w:numPr>
          <w:ilvl w:val="0"/>
          <w:numId w:val="1019"/>
        </w:numPr>
      </w:pPr>
      <w:r>
        <w:t xml:space="preserve">Count of devices that passed EAP-TLS but failed compliance</w:t>
      </w:r>
    </w:p>
    <w:p>
      <w:pPr>
        <w:pStyle w:val="Compact"/>
        <w:numPr>
          <w:ilvl w:val="0"/>
          <w:numId w:val="1019"/>
        </w:numPr>
      </w:pPr>
      <w:r>
        <w:t xml:space="preserve">Count of devices with no supplicant (MAB fallback)</w:t>
      </w:r>
    </w:p>
    <w:p>
      <w:pPr>
        <w:pStyle w:val="Compact"/>
        <w:numPr>
          <w:ilvl w:val="0"/>
          <w:numId w:val="1019"/>
        </w:numPr>
      </w:pPr>
      <w:r>
        <w:t xml:space="preserve">Count of devices with expired or missing certificates</w:t>
      </w:r>
    </w:p>
    <w:p>
      <w:pPr>
        <w:pStyle w:val="Compact"/>
        <w:numPr>
          <w:ilvl w:val="0"/>
          <w:numId w:val="1019"/>
        </w:numPr>
      </w:pPr>
      <w:r>
        <w:t xml:space="preserve">Count of unrecognized MAB devices</w:t>
      </w:r>
    </w:p>
    <w:p>
      <w:pPr>
        <w:pStyle w:val="FirstParagraph"/>
      </w:pPr>
      <w:r>
        <w:t xml:space="preserve">This report is the baseline for Phase 2 readiness.</w:t>
      </w:r>
    </w:p>
    <w:bookmarkEnd w:id="46"/>
    <w:bookmarkStart w:id="47" w:name="phase-2-wired-enforcement-weeks-510"/>
    <w:p>
      <w:pPr>
        <w:pStyle w:val="Heading2"/>
      </w:pPr>
      <w:r>
        <w:t xml:space="preserve">11.2 Phase 2 — Wired Enforcement (Weeks 5–10)</w:t>
      </w:r>
    </w:p>
    <w:p>
      <w:pPr>
        <w:pStyle w:val="FirstParagraph"/>
      </w:pPr>
      <w:r>
        <w:t xml:space="preserve">Remove</w:t>
      </w:r>
      <w:r>
        <w:t xml:space="preserve"> </w:t>
      </w:r>
      <w:r>
        <w:rPr>
          <w:rStyle w:val="VerbatimChar"/>
        </w:rPr>
        <w:t xml:space="preserve">authentication open</w:t>
      </w:r>
      <w:r>
        <w:t xml:space="preserve"> </w:t>
      </w:r>
      <w:r>
        <w:t xml:space="preserve">from workstation and server ports. Devices that fail authentication are now placed in the Quarantine or Remediation VLAN. The exception list from Phase 1 is entered as explicit MAB bypass rules for devices that cannot participate in 802.1X.</w:t>
      </w:r>
    </w:p>
    <w:p>
      <w:pPr>
        <w:pStyle w:val="BodyText"/>
      </w:pPr>
      <w:r>
        <w:t xml:space="preserve">Key tasks:</w:t>
      </w:r>
    </w:p>
    <w:p>
      <w:pPr>
        <w:pStyle w:val="Compact"/>
        <w:numPr>
          <w:ilvl w:val="0"/>
          <w:numId w:val="1020"/>
        </w:numPr>
      </w:pPr>
      <w:r>
        <w:t xml:space="preserve">Remediate all managed workstations with expired certificates (Intune SCEP profile re-push).</w:t>
      </w:r>
    </w:p>
    <w:p>
      <w:pPr>
        <w:pStyle w:val="Compact"/>
        <w:numPr>
          <w:ilvl w:val="0"/>
          <w:numId w:val="1020"/>
        </w:numPr>
      </w:pPr>
      <w:r>
        <w:t xml:space="preserve">Register all approved IoT/OT devices in the InfoBlox MAC database with device class tags.</w:t>
      </w:r>
    </w:p>
    <w:p>
      <w:pPr>
        <w:pStyle w:val="Compact"/>
        <w:numPr>
          <w:ilvl w:val="0"/>
          <w:numId w:val="1020"/>
        </w:numPr>
      </w:pPr>
      <w:r>
        <w:t xml:space="preserve">Configure the captive portal for the quarantine VLAN.</w:t>
      </w:r>
    </w:p>
    <w:p>
      <w:pPr>
        <w:pStyle w:val="Compact"/>
        <w:numPr>
          <w:ilvl w:val="0"/>
          <w:numId w:val="1020"/>
        </w:numPr>
      </w:pPr>
      <w:r>
        <w:t xml:space="preserve">Enable the CoA agent (Azure Function) and test the compliance-state-change VLAN reassignment.</w:t>
      </w:r>
    </w:p>
    <w:p>
      <w:pPr>
        <w:pStyle w:val="Compact"/>
        <w:numPr>
          <w:ilvl w:val="0"/>
          <w:numId w:val="1020"/>
        </w:numPr>
      </w:pPr>
      <w:r>
        <w:t xml:space="preserve">Enable the Sentinel analytics rules and configure alert routing to the Agency SOC.</w:t>
      </w:r>
    </w:p>
    <w:bookmarkEnd w:id="47"/>
    <w:bookmarkStart w:id="48" w:name="phase-3-wireless-enforcement-weeks-1114"/>
    <w:p>
      <w:pPr>
        <w:pStyle w:val="Heading2"/>
      </w:pPr>
      <w:r>
        <w:t xml:space="preserve">11.3 Phase 3 — Wireless Enforcement (Weeks 11–14)</w:t>
      </w:r>
    </w:p>
    <w:p>
      <w:pPr>
        <w:pStyle w:val="FirstParagraph"/>
      </w:pPr>
      <w:r>
        <w:t xml:space="preserve">Deploy the WPA3-Enterprise SSID and migrate managed devices from the legacy WPA2-Personal or WPA2-Enterprise SSID. The migration is device-by-device via Intune Wi-Fi profile push:</w:t>
      </w:r>
    </w:p>
    <w:p>
      <w:pPr>
        <w:pStyle w:val="Compact"/>
        <w:numPr>
          <w:ilvl w:val="0"/>
          <w:numId w:val="1021"/>
        </w:numPr>
      </w:pPr>
      <w:r>
        <w:t xml:space="preserve">Push the new WPA3-Enterprise Wi-Fi profile to all Intune-enrolled devices.</w:t>
      </w:r>
    </w:p>
    <w:p>
      <w:pPr>
        <w:pStyle w:val="Compact"/>
        <w:numPr>
          <w:ilvl w:val="0"/>
          <w:numId w:val="1021"/>
        </w:numPr>
      </w:pPr>
      <w:r>
        <w:t xml:space="preserve">The profile includes the EAP-TLS settings, RADIUS server certificate trust, and the SSID name.</w:t>
      </w:r>
    </w:p>
    <w:p>
      <w:pPr>
        <w:pStyle w:val="Compact"/>
        <w:numPr>
          <w:ilvl w:val="0"/>
          <w:numId w:val="1021"/>
        </w:numPr>
      </w:pPr>
      <w:r>
        <w:t xml:space="preserve">Devices connect to the new SSID automatically using the machine certificate.</w:t>
      </w:r>
    </w:p>
    <w:p>
      <w:pPr>
        <w:pStyle w:val="Compact"/>
        <w:numPr>
          <w:ilvl w:val="0"/>
          <w:numId w:val="1021"/>
        </w:numPr>
      </w:pPr>
      <w:r>
        <w:t xml:space="preserve">Retire the legacy SSID after all managed device migrations are confirmed in Sentinel.</w:t>
      </w:r>
    </w:p>
    <w:p>
      <w:pPr>
        <w:pStyle w:val="FirstParagraph"/>
      </w:pPr>
      <w:r>
        <w:t xml:space="preserve">The guest SSID is deployed in parallel, isolated on VLAN 500, with captive portal acknowledgment required for first-time access.</w:t>
      </w:r>
    </w:p>
    <w:bookmarkEnd w:id="48"/>
    <w:bookmarkStart w:id="49" w:name="X18aafc1ddc00ee7cd41bea8803075116ceb7de4"/>
    <w:p>
      <w:pPr>
        <w:pStyle w:val="Heading2"/>
      </w:pPr>
      <w:r>
        <w:t xml:space="preserve">11.4 Phase 4 — IoT Segmentation and Hardening (Weeks 15–20)</w:t>
      </w:r>
    </w:p>
    <w:p>
      <w:pPr>
        <w:pStyle w:val="FirstParagraph"/>
      </w:pPr>
      <w:r>
        <w:t xml:space="preserve">Refine the MAB policy based on operational experience from Phases 2–3:</w:t>
      </w:r>
    </w:p>
    <w:p>
      <w:pPr>
        <w:pStyle w:val="Compact"/>
        <w:numPr>
          <w:ilvl w:val="0"/>
          <w:numId w:val="1022"/>
        </w:numPr>
      </w:pPr>
      <w:r>
        <w:t xml:space="preserve">Apply ACLs on the IoT VLAN (VLAN 300) to restrict each device category to only the management ports and protocols it requires (e.g., IP phones receive SIP/RTP to the voice gateway only; badge readers receive OSDP to the physical access control server only).</w:t>
      </w:r>
    </w:p>
    <w:p>
      <w:pPr>
        <w:pStyle w:val="Compact"/>
        <w:numPr>
          <w:ilvl w:val="0"/>
          <w:numId w:val="1022"/>
        </w:numPr>
      </w:pPr>
      <w:r>
        <w:t xml:space="preserve">Document the exception process for new IoT device deployments (asset registration in InfoBlox before deployment is a prerequisite for MAB approval).</w:t>
      </w:r>
    </w:p>
    <w:p>
      <w:pPr>
        <w:pStyle w:val="Compact"/>
        <w:numPr>
          <w:ilvl w:val="0"/>
          <w:numId w:val="1022"/>
        </w:numPr>
      </w:pPr>
      <w:r>
        <w:t xml:space="preserve">Conduct a tabletop exercise simulating a rogue device plugged into a conference room port — verify that the quarantine VLAN fires, Sentinel alerts, and the CoA agent responds correctly.</w:t>
      </w:r>
    </w:p>
    <w:bookmarkEnd w:id="49"/>
    <w:bookmarkEnd w:id="50"/>
    <w:bookmarkStart w:id="51" w:name="nist-sp-800-53-rev-5-control-closure"/>
    <w:p>
      <w:pPr>
        <w:pStyle w:val="Heading1"/>
      </w:pPr>
      <w:r>
        <w:t xml:space="preserve">12. NIST SP 800-53 Rev 5 Control Closure</w:t>
      </w:r>
    </w:p>
    <w:p>
      <w:pPr>
        <w:pStyle w:val="FirstParagraph"/>
      </w:pPr>
      <w:r>
        <w:t xml:space="preserve">The following table maps each NIST control addressed by this document to its state before and after implementation.</w:t>
      </w:r>
    </w:p>
    <w:p>
      <w:pPr>
        <w:pStyle w:val="TableCaption"/>
      </w:pPr>
      <w:r>
        <w:t xml:space="preserve">NIST SP 800-53 Rev 5 control closure for Vol I Book 02 — Network Access Control</w:t>
      </w:r>
    </w:p>
    <w:tbl>
      <w:tblPr>
        <w:tblStyle w:val="Table"/>
        <w:tblW w:type="pct" w:w="5000"/>
        <w:tblLayout w:type="fixed"/>
        <w:tblLook w:firstRow="1" w:lastRow="0" w:firstColumn="0" w:lastColumn="0" w:noHBand="0" w:noVBand="0" w:val="0020"/>
        <w:tblCaption w:val="NIST SP 800-53 Rev 5 control closure for Vol I Book 02 — Network Access Control"/>
      </w:tblPr>
      <w:tblGrid>
        <w:gridCol w:w="1048"/>
        <w:gridCol w:w="815"/>
        <w:gridCol w:w="2562"/>
        <w:gridCol w:w="2212"/>
        <w:gridCol w:w="1281"/>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Document</w:t>
            </w:r>
          </w:p>
        </w:tc>
        <w:tc>
          <w:tcPr/>
          <w:p>
            <w:pPr>
              <w:pStyle w:val="Compact"/>
            </w:pPr>
            <w:r>
              <w:t xml:space="preserve">With This Document</w:t>
            </w:r>
          </w:p>
        </w:tc>
        <w:tc>
          <w:tcPr/>
          <w:p>
            <w:pPr>
              <w:pStyle w:val="Compact"/>
            </w:pPr>
            <w:r>
              <w:t xml:space="preserve">Authority</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Devices connect to Agency network ports without presenting any device identity assertion; the network cannot distinguish a managed Agency workstation from an unauthorized device on the same physical port</w:t>
            </w:r>
          </w:p>
        </w:tc>
        <w:tc>
          <w:tcPr/>
          <w:p>
            <w:pPr>
              <w:pStyle w:val="Compact"/>
            </w:pPr>
            <w:r>
              <w:t xml:space="preserve">Every device must present a valid EAP-TLS machine certificate issued by the Agency Device Identity CA before receiving network access; certificate SAN is validated against the Entra ID device inventory; unauthorized devices are quarantined</w:t>
            </w:r>
          </w:p>
        </w:tc>
        <w:tc>
          <w:tcPr/>
          <w:p>
            <w:pPr>
              <w:pStyle w:val="Compact"/>
            </w:pPr>
            <w:r>
              <w:t xml:space="preserve">NIST SP 800-53 Rev 5 IA-3</w:t>
            </w:r>
          </w:p>
        </w:tc>
      </w:tr>
      <w:tr>
        <w:tc>
          <w:tcPr/>
          <w:p>
            <w:pPr>
              <w:pStyle w:val="Compact"/>
            </w:pPr>
            <w:r>
              <w:rPr>
                <w:b/>
                <w:bCs/>
              </w:rPr>
              <w:t xml:space="preserve">IA-3(1)</w:t>
            </w:r>
          </w:p>
        </w:tc>
        <w:tc>
          <w:tcPr/>
          <w:p>
            <w:pPr>
              <w:pStyle w:val="Compact"/>
            </w:pPr>
            <w:r>
              <w:t xml:space="preserve">Cryptographic Bidirectional Authentication</w:t>
            </w:r>
          </w:p>
        </w:tc>
        <w:tc>
          <w:tcPr/>
          <w:p>
            <w:pPr>
              <w:pStyle w:val="Compact"/>
            </w:pPr>
            <w:r>
              <w:t xml:space="preserve">No device-layer mutual authentication exists; switches do not authenticate to devices and devices do not authenticate to the network</w:t>
            </w:r>
          </w:p>
        </w:tc>
        <w:tc>
          <w:tcPr/>
          <w:p>
            <w:pPr>
              <w:pStyle w:val="Compact"/>
            </w:pPr>
            <w:r>
              <w:t xml:space="preserve">EAP-TLS provides mutual authentication: the RADIUS server presents its certificate to the supplicant (network identity), and the supplicant presents its machine certificate to the RADIUS server (device identity); both are verified cryptographically</w:t>
            </w:r>
          </w:p>
        </w:tc>
        <w:tc>
          <w:tcPr/>
          <w:p>
            <w:pPr>
              <w:pStyle w:val="Compact"/>
            </w:pPr>
            <w:r>
              <w:t xml:space="preserve">NIST SP 800-53 Rev 5 IA-3(1)</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Network access policy is enforced only at the IP/application layer (firewalls, Entra Conditional Access); a device that gains Layer 3 connectivity bypasses application-layer controls until it attempts to authenticate</w:t>
            </w:r>
          </w:p>
        </w:tc>
        <w:tc>
          <w:tcPr/>
          <w:p>
            <w:pPr>
              <w:pStyle w:val="Compact"/>
            </w:pPr>
            <w:r>
              <w:t xml:space="preserve">Network access policy is enforced at the port layer before IP connectivity is granted; a device that cannot authenticate never receives a routed IP address in a production segment</w:t>
            </w:r>
          </w:p>
        </w:tc>
        <w:tc>
          <w:tcPr/>
          <w:p>
            <w:pPr>
              <w:pStyle w:val="Compact"/>
            </w:pPr>
            <w:r>
              <w:t xml:space="preserve">NIST SP 800-53 Rev 5 AC-3</w:t>
            </w:r>
          </w:p>
        </w:tc>
      </w:tr>
      <w:tr>
        <w:tc>
          <w:tcPr/>
          <w:p>
            <w:pPr>
              <w:pStyle w:val="Compact"/>
            </w:pPr>
            <w:r>
              <w:rPr>
                <w:b/>
                <w:bCs/>
              </w:rPr>
              <w:t xml:space="preserve">AC-17</w:t>
            </w:r>
          </w:p>
        </w:tc>
        <w:tc>
          <w:tcPr/>
          <w:p>
            <w:pPr>
              <w:pStyle w:val="Compact"/>
            </w:pPr>
            <w:r>
              <w:t xml:space="preserve">Remote Access</w:t>
            </w:r>
          </w:p>
        </w:tc>
        <w:tc>
          <w:tcPr/>
          <w:p>
            <w:pPr>
              <w:pStyle w:val="Compact"/>
            </w:pPr>
            <w:r>
              <w:t xml:space="preserve">VPN and remote access require user authentication via Entra ID; device compliance is evaluated by Conditional Access</w:t>
            </w:r>
          </w:p>
        </w:tc>
        <w:tc>
          <w:tcPr/>
          <w:p>
            <w:pPr>
              <w:pStyle w:val="Compact"/>
            </w:pPr>
            <w:r>
              <w:t xml:space="preserve">NAC certificate validation at the physical port and wireless association layer provides an independent device identity assertion that pre-dates any user remote access session; posture verification is consistent across in-office and remote access paths</w:t>
            </w:r>
          </w:p>
        </w:tc>
        <w:tc>
          <w:tcPr/>
          <w:p>
            <w:pPr>
              <w:pStyle w:val="Compact"/>
            </w:pPr>
            <w:r>
              <w:t xml:space="preserve">NIST SP 800-53 Rev 5 AC-17</w:t>
            </w:r>
          </w:p>
        </w:tc>
      </w:tr>
      <w:tr>
        <w:tc>
          <w:tcPr/>
          <w:p>
            <w:pPr>
              <w:pStyle w:val="Compact"/>
            </w:pPr>
            <w:r>
              <w:rPr>
                <w:b/>
                <w:bCs/>
              </w:rPr>
              <w:t xml:space="preserve">AC-19</w:t>
            </w:r>
          </w:p>
        </w:tc>
        <w:tc>
          <w:tcPr/>
          <w:p>
            <w:pPr>
              <w:pStyle w:val="Compact"/>
            </w:pPr>
            <w:r>
              <w:t xml:space="preserve">Access Control for Mobile Devices</w:t>
            </w:r>
          </w:p>
        </w:tc>
        <w:tc>
          <w:tcPr/>
          <w:p>
            <w:pPr>
              <w:pStyle w:val="Compact"/>
            </w:pPr>
            <w:r>
              <w:t xml:space="preserve">Mobile devices and personal laptops connecting to Agency wireless receive the same SSID access as managed devices; no device identity check distinguishes them</w:t>
            </w:r>
          </w:p>
        </w:tc>
        <w:tc>
          <w:tcPr/>
          <w:p>
            <w:pPr>
              <w:pStyle w:val="Compact"/>
            </w:pPr>
            <w:r>
              <w:t xml:space="preserve">WPA3-Enterprise with EAP-TLS restricts the managed SSID to Intune-enrolled devices with valid machine certificates; personal devices and unmanaged mobile devices cannot authenticate to the managed SSID and are directed to the guest SSID</w:t>
            </w:r>
          </w:p>
        </w:tc>
        <w:tc>
          <w:tcPr/>
          <w:p>
            <w:pPr>
              <w:pStyle w:val="Compact"/>
            </w:pPr>
            <w:r>
              <w:t xml:space="preserve">NIST SP 800-53 Rev 5 AC-19</w:t>
            </w:r>
          </w:p>
        </w:tc>
      </w:tr>
      <w:tr>
        <w:tc>
          <w:tcPr/>
          <w:p>
            <w:pPr>
              <w:pStyle w:val="Compact"/>
            </w:pPr>
            <w:r>
              <w:rPr>
                <w:b/>
                <w:bCs/>
              </w:rPr>
              <w:t xml:space="preserve">AC-20</w:t>
            </w:r>
          </w:p>
        </w:tc>
        <w:tc>
          <w:tcPr/>
          <w:p>
            <w:pPr>
              <w:pStyle w:val="Compact"/>
            </w:pPr>
            <w:r>
              <w:t xml:space="preserve">Use of External Systems</w:t>
            </w:r>
          </w:p>
        </w:tc>
        <w:tc>
          <w:tcPr/>
          <w:p>
            <w:pPr>
              <w:pStyle w:val="Compact"/>
            </w:pPr>
            <w:r>
              <w:t xml:space="preserve">Vendor and contractor devices that connect to Agency conference room ports are treated identically to managed Agency devices by the network</w:t>
            </w:r>
          </w:p>
        </w:tc>
        <w:tc>
          <w:tcPr/>
          <w:p>
            <w:pPr>
              <w:pStyle w:val="Compact"/>
            </w:pPr>
            <w:r>
              <w:t xml:space="preserve">Vendor and contractor devices that cannot present a valid Agency machine certificate are placed in the quarantine VLAN; if vendor NAC access is required, an explicit exception process (MAC registration + IoT VLAN + time-limited ACL) is used with documented approval</w:t>
            </w:r>
          </w:p>
        </w:tc>
        <w:tc>
          <w:tcPr/>
          <w:p>
            <w:pPr>
              <w:pStyle w:val="Compact"/>
            </w:pPr>
            <w:r>
              <w:t xml:space="preserve">NIST SP 800-53 Rev 5 AC-20</w:t>
            </w:r>
          </w:p>
        </w:tc>
      </w:tr>
      <w:tr>
        <w:tc>
          <w:tcPr/>
          <w:p>
            <w:pPr>
              <w:pStyle w:val="Compact"/>
            </w:pPr>
            <w:r>
              <w:rPr>
                <w:b/>
                <w:bCs/>
              </w:rPr>
              <w:t xml:space="preserve">SC-7(3)</w:t>
            </w:r>
          </w:p>
        </w:tc>
        <w:tc>
          <w:tcPr/>
          <w:p>
            <w:pPr>
              <w:pStyle w:val="Compact"/>
            </w:pPr>
            <w:r>
              <w:t xml:space="preserve">Access Points</w:t>
            </w:r>
          </w:p>
        </w:tc>
        <w:tc>
          <w:tcPr/>
          <w:p>
            <w:pPr>
              <w:pStyle w:val="Compact"/>
            </w:pPr>
            <w:r>
              <w:t xml:space="preserve">Network access points (switch ports, WAPs) are open to any physically connected device; the boundary is the building perimeter, not the network port</w:t>
            </w:r>
          </w:p>
        </w:tc>
        <w:tc>
          <w:tcPr/>
          <w:p>
            <w:pPr>
              <w:pStyle w:val="Compact"/>
            </w:pPr>
            <w:r>
              <w:t xml:space="preserve">Every switch port and WAP SSID (managed) is a boundary enforcement point; 802.1X authentication is the access control mechanism at each access point; unauthorized devices cannot traverse the boundary regardless of physical facility access</w:t>
            </w:r>
          </w:p>
        </w:tc>
        <w:tc>
          <w:tcPr/>
          <w:p>
            <w:pPr>
              <w:pStyle w:val="Compact"/>
            </w:pPr>
            <w:r>
              <w:t xml:space="preserve">NIST SP 800-53 Rev 5 SC-7(3)</w:t>
            </w:r>
          </w:p>
        </w:tc>
      </w:tr>
      <w:tr>
        <w:tc>
          <w:tcPr/>
          <w:p>
            <w:pPr>
              <w:pStyle w:val="Compact"/>
            </w:pPr>
            <w:r>
              <w:rPr>
                <w:b/>
                <w:bCs/>
              </w:rPr>
              <w:t xml:space="preserve">SC-7(5)</w:t>
            </w:r>
          </w:p>
        </w:tc>
        <w:tc>
          <w:tcPr/>
          <w:p>
            <w:pPr>
              <w:pStyle w:val="Compact"/>
            </w:pPr>
            <w:r>
              <w:t xml:space="preserve">Deny by Default — Allow by Exception</w:t>
            </w:r>
          </w:p>
        </w:tc>
        <w:tc>
          <w:tcPr/>
          <w:p>
            <w:pPr>
              <w:pStyle w:val="Compact"/>
            </w:pPr>
            <w:r>
              <w:t xml:space="preserve">Unauthenticated devices receive full network access by VLAN assignment; the default is open</w:t>
            </w:r>
          </w:p>
        </w:tc>
        <w:tc>
          <w:tcPr/>
          <w:p>
            <w:pPr>
              <w:pStyle w:val="Compact"/>
            </w:pPr>
            <w:r>
              <w:t xml:space="preserve">Unauthenticated devices (no 802.1X supplicant, no MAB match) receive VLAN 999 (quarantine) with no routing to Agency resources; the default is deny; access must be explicitly granted by a successful authentication</w:t>
            </w:r>
          </w:p>
        </w:tc>
        <w:tc>
          <w:tcPr/>
          <w:p>
            <w:pPr>
              <w:pStyle w:val="Compact"/>
            </w:pPr>
            <w:r>
              <w:t xml:space="preserve">NIST SP 800-53 Rev 5 SC-7(5)</w:t>
            </w:r>
          </w:p>
        </w:tc>
      </w:tr>
      <w:tr>
        <w:tc>
          <w:tcPr/>
          <w:p>
            <w:pPr>
              <w:pStyle w:val="Compact"/>
            </w:pPr>
            <w:r>
              <w:rPr>
                <w:b/>
                <w:bCs/>
              </w:rPr>
              <w:t xml:space="preserve">CM-6</w:t>
            </w:r>
          </w:p>
        </w:tc>
        <w:tc>
          <w:tcPr/>
          <w:p>
            <w:pPr>
              <w:pStyle w:val="Compact"/>
            </w:pPr>
            <w:r>
              <w:t xml:space="preserve">Configuration Settings</w:t>
            </w:r>
          </w:p>
        </w:tc>
        <w:tc>
          <w:tcPr/>
          <w:p>
            <w:pPr>
              <w:pStyle w:val="Compact"/>
            </w:pPr>
            <w:r>
              <w:t xml:space="preserve">Device configuration compliance (patch level, AV, encryption) is assessed by Intune but is not enforced at the network admission layer; a non-compliant device can connect to the production network</w:t>
            </w:r>
          </w:p>
        </w:tc>
        <w:tc>
          <w:tcPr/>
          <w:p>
            <w:pPr>
              <w:pStyle w:val="Compact"/>
            </w:pPr>
            <w:r>
              <w:t xml:space="preserve">Intune compliance state is evaluated at every 802.1X authentication and on CoA events (15-minute polling); a device that fails Intune compliance is moved to the Remediation VLAN within ~20 minutes of Intune registering the state change, bounded unconditionally by the 8-hour re-authentication interval</w:t>
            </w:r>
          </w:p>
        </w:tc>
        <w:tc>
          <w:tcPr/>
          <w:p>
            <w:pPr>
              <w:pStyle w:val="Compact"/>
            </w:pPr>
            <w:r>
              <w:t xml:space="preserve">NIST SP 800-53 Rev 5 CM-6</w:t>
            </w:r>
          </w:p>
        </w:tc>
      </w:tr>
      <w:tr>
        <w:tc>
          <w:tcPr/>
          <w:p>
            <w:pPr>
              <w:pStyle w:val="Compact"/>
            </w:pPr>
            <w:r>
              <w:rPr>
                <w:b/>
                <w:bCs/>
              </w:rPr>
              <w:t xml:space="preserve">CM-7</w:t>
            </w:r>
          </w:p>
        </w:tc>
        <w:tc>
          <w:tcPr/>
          <w:p>
            <w:pPr>
              <w:pStyle w:val="Compact"/>
            </w:pPr>
            <w:r>
              <w:t xml:space="preserve">Least Functionality</w:t>
            </w:r>
          </w:p>
        </w:tc>
        <w:tc>
          <w:tcPr/>
          <w:p>
            <w:pPr>
              <w:pStyle w:val="Compact"/>
            </w:pPr>
            <w:r>
              <w:t xml:space="preserve">Any device that obtains physical network connectivity receives production VLAN routing; IoT devices and printers have unrestricted lateral movement potential within the VLAN</w:t>
            </w:r>
          </w:p>
        </w:tc>
        <w:tc>
          <w:tcPr/>
          <w:p>
            <w:pPr>
              <w:pStyle w:val="Compact"/>
            </w:pPr>
            <w:r>
              <w:t xml:space="preserve">IoT and OT devices receive VLAN 300 with ACLs restricting them to only the management ports and protocols their function requires; a printer can reach the print server port only, not the file server or Active Directory</w:t>
            </w:r>
          </w:p>
        </w:tc>
        <w:tc>
          <w:tcPr/>
          <w:p>
            <w:pPr>
              <w:pStyle w:val="Compact"/>
            </w:pPr>
            <w:r>
              <w:t xml:space="preserve">NIST SP 800-53 Rev 5 CM-7</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Device inventory is maintained in Intune (enrolled managed devices) and SCCM/MEM, but unmanaged devices that connect to the network are not captured in any authoritative inventory</w:t>
            </w:r>
          </w:p>
        </w:tc>
        <w:tc>
          <w:tcPr/>
          <w:p>
            <w:pPr>
              <w:pStyle w:val="Compact"/>
            </w:pPr>
            <w:r>
              <w:t xml:space="preserve">Every device that connects to a NAC-controlled port generates a RADIUS accounting record linked to an InfoBlox DHCP record; managed and unmanaged devices alike are recorded with MAC address, port, VLAN, authentication result, and timestamp; this is the authoritative network device inventory</w:t>
            </w:r>
          </w:p>
        </w:tc>
        <w:tc>
          <w:tcPr/>
          <w:p>
            <w:pPr>
              <w:pStyle w:val="Compact"/>
            </w:pPr>
            <w:r>
              <w:t xml:space="preserve">NIST SP 800-53 Rev 5 CM-8</w:t>
            </w:r>
          </w:p>
        </w:tc>
      </w:tr>
    </w:tbl>
    <w:p>
      <w:pPr>
        <w:pStyle w:val="BlockText"/>
      </w:pPr>
      <w:r>
        <w:rPr>
          <w:b/>
          <w:bCs/>
        </w:rPr>
        <w:t xml:space="preserve">Closure Necessity — IA-3 at the point of admission.</w:t>
      </w:r>
      <w:r>
        <w:t xml:space="preserve"> </w:t>
      </w:r>
      <w:r>
        <w:t xml:space="preserve">IA-3 requires the system to uniquely identify and authenticate devices</w:t>
      </w:r>
      <w:r>
        <w:t xml:space="preserve"> </w:t>
      </w:r>
      <w:r>
        <w:rPr>
          <w:i/>
          <w:iCs/>
        </w:rPr>
        <w:t xml:space="preserve">before establishing a network connection</w:t>
      </w:r>
      <w:r>
        <w:t xml:space="preserve">. The connection is established at exactly one place — the switch port or the wireless association — so the authentication must interpose at that place, before an address is issued and routing begins. Only a port-based authentication protocol carrying a verifiable device credential (802.1X with EAP-TLS, backed by the device identity substrate this document builds) can do that: a vulnerability scanner discovers a device only after it is already connected, an MDM agent reports only from devices already enrolled, and a firewall evaluates packets from devices already admitted. There is no configuration setting, scanner finding, or policy document that authenticates a port. Scope, stated precisely: this is the</w:t>
      </w:r>
      <w:r>
        <w:t xml:space="preserve"> </w:t>
      </w:r>
      <w:r>
        <w:rPr>
          <w:b/>
          <w:bCs/>
        </w:rPr>
        <w:t xml:space="preserve">campus wired/wireless</w:t>
      </w:r>
      <w:r>
        <w:t xml:space="preserve"> </w:t>
      </w:r>
      <w:r>
        <w:t xml:space="preserve">closure — for remote devices there is no agency switch port to interpose at, and IA-3 is closed at the ZTNA layer instead (the NAC → ZTNA continuum section covers the handoff).</w:t>
      </w:r>
    </w:p>
    <w:p>
      <w:pPr>
        <w:pStyle w:val="BlockText"/>
      </w:pPr>
      <w:r>
        <w:rPr>
          <w:b/>
          <w:bCs/>
        </w:rPr>
        <w:t xml:space="preserve">Closure Necessity — CM-8 and the enumeration problem.</w:t>
      </w:r>
      <w:r>
        <w:t xml:space="preserve"> </w:t>
      </w:r>
      <w:r>
        <w:t xml:space="preserve">CM-8 requires a component inventory that</w:t>
      </w:r>
      <w:r>
        <w:t xml:space="preserve"> </w:t>
      </w:r>
      <w:r>
        <w:rPr>
          <w:i/>
          <w:iCs/>
        </w:rPr>
        <w:t xml:space="preserve">accurately reflects the system</w:t>
      </w:r>
      <w:r>
        <w:t xml:space="preserve"> </w:t>
      </w:r>
      <w:r>
        <w:t xml:space="preserve">and</w:t>
      </w:r>
      <w:r>
        <w:t xml:space="preserve"> </w:t>
      </w:r>
      <w:r>
        <w:rPr>
          <w:i/>
          <w:iCs/>
        </w:rPr>
        <w:t xml:space="preserve">includes all components within the system</w:t>
      </w:r>
      <w:r>
        <w:t xml:space="preserve"> </w:t>
      </w:r>
      <w:r>
        <w:t xml:space="preserve">— including the components nobody enrolled. An MDM inventory contains only devices that completed enrollment; a scanner sees only the address ranges and time windows it is pointed at. The one plane every device must touch in order to function at all — managed or rogue — is the addressing plane: to communicate, it must obtain an address. Obtaining is not the same as requesting: a device with a manually configured static address never touches DHCP fingerprinting. The architecture closes that bypass rather than assuming it away — on NAC-enforced segments, 802.1X port authentication quarantines the unauthenticated device regardless of how it addressed itself, and DHCP snooping plus IP Source Guard drop traffic from addresses with no corresponding DHCP lease, making DHCP the only viable address-acquisition path. With the static-assignment bypass closed, IPAM with DHCP fingerprinting, annotated by the NAC authentication result, is the only mechanism that enumerates</w:t>
      </w:r>
      <w:r>
        <w:t xml:space="preserve"> </w:t>
      </w:r>
      <w:r>
        <w:rPr>
          <w:i/>
          <w:iCs/>
        </w:rPr>
        <w:t xml:space="preserve">every</w:t>
      </w:r>
      <w:r>
        <w:t xml:space="preserve"> </w:t>
      </w:r>
      <w:r>
        <w:t xml:space="preserve">component and is thus the authoritative CM-8 inventory. You cannot inventory what you cannot enumerate, and no scanner creates a source of truth; it can only measure drift from one.</w:t>
      </w:r>
    </w:p>
    <w:p>
      <w:pPr>
        <w:pStyle w:val="FirstParagraph"/>
      </w:pPr>
      <w:r>
        <w:rPr>
          <w:b/>
          <w:bCs/>
        </w:rPr>
        <w:t xml:space="preserve">FedRAMP 20x Key Security Indicator Alignment</w:t>
      </w:r>
    </w:p>
    <w:p>
      <w:pPr>
        <w:pStyle w:val="BodyText"/>
      </w:pPr>
      <w:r>
        <w:rPr>
          <w:b/>
          <w:bCs/>
        </w:rPr>
        <w:t xml:space="preserve">Configuration-management evidence (KSI-SVC theme — Service Configuration)</w:t>
      </w:r>
      <w:r>
        <w:t xml:space="preserve">: NAC posture enforcement via Intune compliance provides a network-layer gate that prevents non-compliant devices from accessing production resources. This lays a network-admission enforcement point beneath the configuration-management evidence depth that Vol IV Books 02–03 (Supply Chain Risk Management and Program Management &amp; Governance) later establish at the policy and governance layer.</w:t>
      </w:r>
    </w:p>
    <w:p>
      <w:pPr>
        <w:pStyle w:val="BodyText"/>
      </w:pPr>
      <w:r>
        <w:rPr>
          <w:b/>
          <w:bCs/>
        </w:rPr>
        <w:t xml:space="preserve">Vulnerability-detection evidence (KSI-MLA theme — Monitoring, Logging, and Auditing)</w:t>
      </w:r>
      <w:r>
        <w:t xml:space="preserve">: The NAC posture check evaluates Defender AV definition currency and OS patch level at network admission — the same indicators Vol III Book 02 (Vulnerability Management) later uses for its vulnerability-management evidence. A device with an overdue patch that passes vulnerability scanner thresholds on its scheduled scan date but falls out of compliance between scans is caught by NAC posture at the next re-authentication. NAC provides continuous enforcement between point-in-time scan windows.</w:t>
      </w:r>
    </w:p>
    <w:p>
      <w:pPr>
        <w:pStyle w:val="BodyText"/>
      </w:pPr>
      <w:r>
        <w:rPr>
          <w:b/>
          <w:bCs/>
        </w:rPr>
        <w:t xml:space="preserve">Device-layer MFA evidence (KSI-IAM theme)</w:t>
      </w:r>
      <w:r>
        <w:t xml:space="preserve">: EAP-TLS machine certificate authentication is a hardware-bound device credential (certificate key in TPM) that constitutes a device MFA factor — something the device</w:t>
      </w:r>
      <w:r>
        <w:t xml:space="preserve"> </w:t>
      </w:r>
      <w:r>
        <w:rPr>
          <w:i/>
          <w:iCs/>
        </w:rPr>
        <w:t xml:space="preserve">has</w:t>
      </w:r>
      <w:r>
        <w:t xml:space="preserve"> </w:t>
      </w:r>
      <w:r>
        <w:t xml:space="preserve">(the certificate) combined with hardware attestation (TPM key non-exportability). This deepens the evidence narrative behind the ScuBA-based IAM rules (KSI-001..010) by extending phishing-resistant authentication from the user identity layer to the device identity layer.</w:t>
      </w:r>
    </w:p>
    <w:p>
      <w:pPr>
        <w:pStyle w:val="BodyText"/>
      </w:pPr>
      <w:r>
        <w:t xml:space="preserve">Agencies implementing this document should capture the following as OSCAL AR evidence artifacts: NPS RADIUS accounting log export (90-day retention, per AU-11); Intune compliance report export showing NAC-enrolled devices; InfoBlox DHCP audit log for the NAC-controlled VLAN scopes; and the Phase 1 monitor-mode baseline report.</w:t>
      </w:r>
    </w:p>
    <w:bookmarkEnd w:id="51"/>
    <w:bookmarkStart w:id="52" w:name="X25d62fe4d5b3b6a277d70e03f7a7be09e83037f"/>
    <w:p>
      <w:pPr>
        <w:pStyle w:val="Heading1"/>
      </w:pPr>
      <w:r>
        <w:t xml:space="preserve">13. From Port to Token: the NAC → ZTNA Continuum</w:t>
      </w:r>
    </w:p>
    <w:p>
      <w:pPr>
        <w:pStyle w:val="FirstParagraph"/>
      </w:pPr>
      <w:r>
        <w:t xml:space="preserve">Every admission decision in this document answers the same three questions:</w:t>
      </w:r>
      <w:r>
        <w:t xml:space="preserve"> </w:t>
      </w:r>
      <w:r>
        <w:rPr>
          <w:i/>
          <w:iCs/>
        </w:rPr>
        <w:t xml:space="preserve">is this device known, is its identity proven, and is its posture current?</w:t>
      </w:r>
      <w:r>
        <w:t xml:space="preserve"> </w:t>
      </w:r>
      <w:r>
        <w:t xml:space="preserve">What varies across the rest of the series is not the questions — it is where the answer is enforced.</w:t>
      </w:r>
    </w:p>
    <w:p>
      <w:pPr>
        <w:pStyle w:val="BodyText"/>
      </w:pPr>
      <w:r>
        <w:t xml:space="preserve">At the port, the answer is enforced by VLAN assignment: a switch consults a RADIUS server, and the device lands in a segment scoped to its trust level. That enforcement is location-bound by construction — it protects the wire, and only the wire. The moment the same device reaches an application through a cloud front door, a ZTNA broker, or a conditional access gateway, the port’s verdict is out of scope. Zero Trust Network Access re-asks the three questions at every access request, and it enforces the answer not in a VLAN but in a</w:t>
      </w:r>
      <w:r>
        <w:t xml:space="preserve"> </w:t>
      </w:r>
      <w:r>
        <w:rPr>
          <w:b/>
          <w:bCs/>
        </w:rPr>
        <w:t xml:space="preserve">token</w:t>
      </w:r>
      <w:r>
        <w:t xml:space="preserve">: the device certificate minted here becomes a claim, the Intune compliance state evaluated here becomes a claim, and the access token carries both to whatever policy enforcement point sits in front of the resource.</w:t>
      </w:r>
    </w:p>
    <w:p>
      <w:pPr>
        <w:pStyle w:val="BodyText"/>
      </w:pPr>
      <w:r>
        <w:t xml:space="preserve">This is a continuum, not a replacement. Vol I Book 03 (Certificates and Tokens) takes the machine certificate this document provisions for the RADIUS exchange and generalizes it into the series’ cryptographic identity plane — the same SCEP pipeline, the same TPM-bound keys, the same revocation infrastructure, now issuing identities for users, services, and workloads as well as switch-port admission. Vol I Book 05 (application-aware modernization) then rebuilds the network itself around those identities, so that transport policy, not just admission policy, is decided per-application and per-identity. Posture asserted at the port evolves into posture asserted in the token; the port remains the enforcement point for the one layer no token can reach — the physical wire — while the token carries the identical device identity everywhere the wire does not go.</w:t>
      </w:r>
    </w:p>
    <w:p>
      <w:r>
        <w:pict>
          <v:rect style="width:0;height:1.5pt" o:hralign="center" o:hrstd="t" o:hr="t"/>
        </w:pict>
      </w:r>
    </w:p>
    <w:p>
      <w:pPr>
        <w:pStyle w:val="FirstParagraph"/>
      </w:pPr>
      <w:r>
        <w:rPr>
          <w:i/>
          <w:iCs/>
        </w:rPr>
        <w:t xml:space="preserve">Federal Compliance — Vol I Book 02 of the series. Vol I Book 01 established the authoritative naming and addressing plane; Vol I Book 02 lays the device identity substrate on top of it, closing the device identity gap at the network port before any higher-layer identity assertion is made. Vol I Book 03 builds the certificate and token identity plane on this substrate, and the books that follow across Volumes I–IV carry those identities through transport, applications, operations, and the authorization package. Together the nineteen parts provide self-assessed evidence for all 29 rules in the series’ internal KSI decomposition (modeled on the FedRAMP 20x CR26 KSI schema) and the NIST SP 800-53 Rev 5 controls recorded as closed in the series compliance spine (</w:t>
      </w:r>
      <w:r>
        <w:rPr>
          <w:rStyle w:val="VerbatimChar"/>
          <w:i/>
          <w:iCs/>
        </w:rPr>
        <w:t xml:space="preserve">federal-compliance-compliance-spine.yml</w:t>
      </w:r>
      <w:r>
        <w:rPr>
          <w:i/>
          <w:iCs/>
        </w:rPr>
        <w:t xml:space="preserve">), pending independent security control assessment (SCA).</w:t>
      </w:r>
    </w:p>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9" Target="Vol_I_Book_01_Cloud_Landing_Zone_IPAM_FedRAMP.md" TargetMode="External" /><Relationship Type="http://schemas.openxmlformats.org/officeDocument/2006/relationships/hyperlink" Id="rId40" Target="Vol_I_Book_03_Certificates_Tokens_Cryptographic_Identity.md" TargetMode="External" /></Relationships>
</file>

<file path=word/_rels/footnotes.xml.rels><?xml version="1.0" encoding="UTF-8"?><Relationships xmlns="http://schemas.openxmlformats.org/package/2006/relationships"><Relationship Type="http://schemas.openxmlformats.org/officeDocument/2006/relationships/hyperlink" Id="rId39" Target="Vol_I_Book_01_Cloud_Landing_Zone_IPAM_FedRAMP.md" TargetMode="External" /><Relationship Type="http://schemas.openxmlformats.org/officeDocument/2006/relationships/hyperlink" Id="rId40" Target="Vol_I_Book_03_Certificates_Tokens_Cryptographic_Ident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02 — Federal Compliance — Network Access Control: 802.1X and Device Identity</dc:title>
  <dc:creator>Federal Cloud Services</dc:creator>
  <cp:keywords/>
  <dcterms:created xsi:type="dcterms:W3CDTF">2026-10-19T10:10:09Z</dcterms:created>
  <dcterms:modified xsi:type="dcterms:W3CDTF">2026-10-19T10:10:09Z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2026-07-15 10:26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802.1X, EAP-TLS, and Device Identity Enforcement at the Port</vt:lpwstr>
  </property>
  <property fmtid="{D5CDD505-2E9C-101B-9397-08002B2CF9AE}" pid="16" name="toc-title">
    <vt:lpwstr>Table of contents</vt:lpwstr>
  </property>
</Properties>
</file>