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 Book 07 — Federal Compliance — Network Enforcement Substrate: Cisco, Palo Alto, Juniper and the NIAP/STIG/FIPS Path</w:t>
      </w:r>
    </w:p>
    <w:p>
      <w:pPr>
        <w:pStyle w:val="Subtitle"/>
      </w:pPr>
      <w:r>
        <w:t xml:space="preserve">How Customer-Owned Network Gear Closes NIST Controls — and the Accreditation Gate That Governs It</w:t>
      </w:r>
    </w:p>
    <w:p>
      <w:pPr>
        <w:pStyle w:val="Author"/>
      </w:pPr>
      <w:r>
        <w:t xml:space="preserve">Federal Cloud Services</w:t>
      </w:r>
    </w:p>
    <w:p>
      <w:pPr>
        <w:pStyle w:val="Date"/>
      </w:pPr>
      <w:r>
        <w:t xml:space="preserve">2026-07-09 12:41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2026-07-09 08:41 ET</w:t>
      </w:r>
    </w:p>
    <w:bookmarkEnd w:id="9"/>
    <w:p>
      <w:pPr>
        <w:pStyle w:val="BodyText"/>
      </w:pPr>
      <w:r>
        <w:rPr>
          <w:b/>
          <w:bCs/>
        </w:rPr>
        <w:t xml:space="preserve">Provisional position.</w:t>
      </w:r>
      <w:r>
        <w:t xml:space="preserve"> </w:t>
      </w:r>
      <w:r>
        <w:t xml:space="preserve">This book was drafted at temporary series slot 20 to</w:t>
      </w:r>
      <w:r>
        <w:t xml:space="preserve"> </w:t>
      </w:r>
      <w:r>
        <w:t xml:space="preserve">avoid renumbering the series while the Vulnerability Management book is under</w:t>
      </w:r>
      <w:r>
        <w:t xml:space="preserve"> </w:t>
      </w:r>
      <w:r>
        <w:t xml:space="preserve">active edit. Its intended home is with the network cluster (immediately after</w:t>
      </w:r>
      <w:r>
        <w:t xml:space="preserve"> </w:t>
      </w:r>
      <w:r>
        <w:t xml:space="preserve">the Telecommunications Modernization book); the series-wide renumber will move</w:t>
      </w:r>
      <w:r>
        <w:t xml:space="preserve"> </w:t>
      </w:r>
      <w:r>
        <w:t xml:space="preserve">it there. Cross-references in this document name other books by</w:t>
      </w:r>
      <w:r>
        <w:t xml:space="preserve"> </w:t>
      </w:r>
      <w:r>
        <w:rPr>
          <w:b/>
          <w:bCs/>
        </w:rPr>
        <w:t xml:space="preserve">title and</w:t>
      </w:r>
      <w:r>
        <w:rPr>
          <w:b/>
          <w:bCs/>
        </w:rPr>
        <w:t xml:space="preserve"> </w:t>
      </w:r>
      <w:r>
        <w:rPr>
          <w:b/>
          <w:bCs/>
        </w:rPr>
        <w:t xml:space="preserve">role</w:t>
      </w:r>
      <w:r>
        <w:t xml:space="preserve">, not by number, so the move does not break them.</w:t>
      </w:r>
    </w:p>
    <w:p>
      <w:pPr>
        <w:pStyle w:val="BodyText"/>
      </w:pPr>
      <w:r>
        <w:rPr>
          <w:b/>
          <w:bCs/>
        </w:rPr>
        <w:t xml:space="preserve">Series Context</w:t>
      </w:r>
      <w:r>
        <w:t xml:space="preserve"> </w:t>
      </w:r>
      <w:r>
        <w:t xml:space="preserve">— The naming/addressing, identity, and transport planes</w:t>
      </w:r>
      <w:r>
        <w:t xml:space="preserve"> </w:t>
      </w:r>
      <w:r>
        <w:t xml:space="preserve">established earlier in this series describe</w:t>
      </w:r>
      <w:r>
        <w:t xml:space="preserve"> </w:t>
      </w:r>
      <w:r>
        <w:rPr>
          <w:i/>
          <w:iCs/>
        </w:rPr>
        <w:t xml:space="preserve">what</w:t>
      </w:r>
      <w:r>
        <w:t xml:space="preserve"> </w:t>
      </w:r>
      <w:r>
        <w:t xml:space="preserve">each network function must</w:t>
      </w:r>
      <w:r>
        <w:t xml:space="preserve"> </w:t>
      </w:r>
      <w:r>
        <w:t xml:space="preserve">do — resolve a name, authenticate a device, encrypt a circuit, enforce a flow.</w:t>
      </w:r>
      <w:r>
        <w:t xml:space="preserve"> </w:t>
      </w:r>
      <w:r>
        <w:t xml:space="preserve">This book describes the</w:t>
      </w:r>
      <w:r>
        <w:t xml:space="preserve"> </w:t>
      </w:r>
      <w:r>
        <w:rPr>
          <w:b/>
          <w:bCs/>
        </w:rPr>
        <w:t xml:space="preserve">customer-owned equipment that performs those functions</w:t>
      </w:r>
      <w:r>
        <w:rPr>
          <w:b/>
          <w:bCs/>
        </w:rPr>
        <w:t xml:space="preserve"> </w:t>
      </w:r>
      <w:r>
        <w:rPr>
          <w:b/>
          <w:bCs/>
        </w:rPr>
        <w:t xml:space="preserve">at the network edge</w:t>
      </w:r>
      <w:r>
        <w:t xml:space="preserve">, and the federal accreditation gate that lets an agency</w:t>
      </w:r>
      <w:r>
        <w:t xml:space="preserve"> </w:t>
      </w:r>
      <w:r>
        <w:t xml:space="preserve">buy and field it. It is the</w:t>
      </w:r>
      <w:r>
        <w:t xml:space="preserve"> </w:t>
      </w:r>
      <w:r>
        <w:rPr>
          <w:i/>
          <w:iCs/>
        </w:rPr>
        <w:t xml:space="preserve">realization</w:t>
      </w:r>
      <w:r>
        <w:t xml:space="preserve"> </w:t>
      </w:r>
      <w:r>
        <w:t xml:space="preserve">layer for the network side of the</w:t>
      </w:r>
      <w:r>
        <w:t xml:space="preserve"> </w:t>
      </w:r>
      <w:r>
        <w:t xml:space="preserve">Functional Plane Model: the transport (plane 1), identity (plane 3), and</w:t>
      </w:r>
      <w:r>
        <w:t xml:space="preserve"> </w:t>
      </w:r>
      <w:r>
        <w:t xml:space="preserve">policy-enforcement (plane 4) planes made of metal, at the part of the</w:t>
      </w:r>
      <w:r>
        <w:t xml:space="preserve"> </w:t>
      </w:r>
      <w:r>
        <w:t xml:space="preserve">architecture the cloud provider’s authorization does not reach.</w:t>
      </w:r>
    </w:p>
    <w:bookmarkStart w:id="10" w:name="what-this-document-addresses"/>
    <w:p>
      <w:pPr>
        <w:pStyle w:val="Heading1"/>
      </w:pPr>
      <w:r>
        <w:t xml:space="preserve">1. What This Document Addresses</w:t>
      </w:r>
    </w:p>
    <w:p>
      <w:pPr>
        <w:pStyle w:val="FirstParagraph"/>
      </w:pPr>
      <w:r>
        <w:t xml:space="preserve">Every control-closure argument in this series that ends in a cloud service —</w:t>
      </w:r>
      <w:r>
        <w:t xml:space="preserve"> </w:t>
      </w:r>
      <w:r>
        <w:t xml:space="preserve">InfoBlox DDI, Entra ID, Sentinel, a SASE point of presence — inherits its</w:t>
      </w:r>
      <w:r>
        <w:t xml:space="preserve"> </w:t>
      </w:r>
      <w:r>
        <w:t xml:space="preserve">federal authorization from the cloud provider’s</w:t>
      </w:r>
      <w:r>
        <w:t xml:space="preserve"> </w:t>
      </w:r>
      <w:r>
        <w:rPr>
          <w:b/>
          <w:bCs/>
        </w:rPr>
        <w:t xml:space="preserve">FedRAMP</w:t>
      </w:r>
      <w:r>
        <w:t xml:space="preserve"> </w:t>
      </w:r>
      <w:r>
        <w:t xml:space="preserve">package. That</w:t>
      </w:r>
      <w:r>
        <w:t xml:space="preserve"> </w:t>
      </w:r>
      <w:r>
        <w:t xml:space="preserve">inheritance is real, and it is clean, right up to the edge of the provider’s</w:t>
      </w:r>
      <w:r>
        <w:t xml:space="preserve"> </w:t>
      </w:r>
      <w:r>
        <w:t xml:space="preserve">boundary. It stops there.</w:t>
      </w:r>
    </w:p>
    <w:p>
      <w:pPr>
        <w:pStyle w:val="BodyText"/>
      </w:pPr>
      <w:r>
        <w:t xml:space="preserve">The network between a field office and that boundary — the switch in the wiring</w:t>
      </w:r>
      <w:r>
        <w:t xml:space="preserve"> </w:t>
      </w:r>
      <w:r>
        <w:t xml:space="preserve">closet, the firewall at the branch, the router terminating the DIA circuit, the</w:t>
      </w:r>
      <w:r>
        <w:t xml:space="preserve"> </w:t>
      </w:r>
      <w:r>
        <w:t xml:space="preserve">NAC appliance authenticating the port — is</w:t>
      </w:r>
      <w:r>
        <w:t xml:space="preserve"> </w:t>
      </w:r>
      <w:r>
        <w:rPr>
          <w:b/>
          <w:bCs/>
        </w:rPr>
        <w:t xml:space="preserve">customer-premises equipment</w:t>
      </w:r>
      <w:r>
        <w:t xml:space="preserve">. No</w:t>
      </w:r>
      <w:r>
        <w:t xml:space="preserve"> </w:t>
      </w:r>
      <w:r>
        <w:t xml:space="preserve">cloud provider’s FedRAMP authorization covers it, because the provider does not</w:t>
      </w:r>
      <w:r>
        <w:t xml:space="preserve"> </w:t>
      </w:r>
      <w:r>
        <w:t xml:space="preserve">operate it. Yet this equipment is exactly what closes a specific, enumerable set</w:t>
      </w:r>
      <w:r>
        <w:t xml:space="preserve"> </w:t>
      </w:r>
      <w:r>
        <w:t xml:space="preserve">of NIST SP 800-53 Rev 5 controls at the edge:</w:t>
      </w:r>
    </w:p>
    <w:p>
      <w:pPr>
        <w:pStyle w:val="Compact"/>
        <w:numPr>
          <w:ilvl w:val="0"/>
          <w:numId w:val="1001"/>
        </w:numPr>
      </w:pPr>
      <w:r>
        <w:rPr>
          <w:b/>
          <w:bCs/>
        </w:rPr>
        <w:t xml:space="preserve">SC-7 / SC-7(8)</w:t>
      </w:r>
      <w:r>
        <w:t xml:space="preserve"> </w:t>
      </w:r>
      <w:r>
        <w:t xml:space="preserve">— boundary protection and forced-proxy egress, at the branch</w:t>
      </w:r>
    </w:p>
    <w:p>
      <w:pPr>
        <w:pStyle w:val="Compact"/>
        <w:numPr>
          <w:ilvl w:val="0"/>
          <w:numId w:val="1001"/>
        </w:numPr>
      </w:pPr>
      <w:r>
        <w:rPr>
          <w:b/>
          <w:bCs/>
        </w:rPr>
        <w:t xml:space="preserve">SC-8 / SC-8(1)</w:t>
      </w:r>
      <w:r>
        <w:t xml:space="preserve"> </w:t>
      </w:r>
      <w:r>
        <w:t xml:space="preserve">— network-layer encryption on the circuit itself</w:t>
      </w:r>
    </w:p>
    <w:p>
      <w:pPr>
        <w:pStyle w:val="Compact"/>
        <w:numPr>
          <w:ilvl w:val="0"/>
          <w:numId w:val="1001"/>
        </w:numPr>
      </w:pPr>
      <w:r>
        <w:rPr>
          <w:b/>
          <w:bCs/>
        </w:rPr>
        <w:t xml:space="preserve">AC-4</w:t>
      </w:r>
      <w:r>
        <w:t xml:space="preserve"> </w:t>
      </w:r>
      <w:r>
        <w:t xml:space="preserve">— information-flow enforcement where the traffic actually egresses</w:t>
      </w:r>
    </w:p>
    <w:p>
      <w:pPr>
        <w:pStyle w:val="Compact"/>
        <w:numPr>
          <w:ilvl w:val="0"/>
          <w:numId w:val="1001"/>
        </w:numPr>
      </w:pPr>
      <w:r>
        <w:rPr>
          <w:b/>
          <w:bCs/>
        </w:rPr>
        <w:t xml:space="preserve">IA-3</w:t>
      </w:r>
      <w:r>
        <w:t xml:space="preserve"> </w:t>
      </w:r>
      <w:r>
        <w:t xml:space="preserve">— device identity at the physical port, before any user authenticates</w:t>
      </w:r>
    </w:p>
    <w:p>
      <w:pPr>
        <w:pStyle w:val="Compact"/>
        <w:numPr>
          <w:ilvl w:val="0"/>
          <w:numId w:val="1001"/>
        </w:numPr>
      </w:pPr>
      <w:r>
        <w:rPr>
          <w:b/>
          <w:bCs/>
        </w:rPr>
        <w:t xml:space="preserve">AC-17</w:t>
      </w:r>
      <w:r>
        <w:t xml:space="preserve"> </w:t>
      </w:r>
      <w:r>
        <w:t xml:space="preserve">— remote access termination</w:t>
      </w:r>
    </w:p>
    <w:p>
      <w:pPr>
        <w:pStyle w:val="Compact"/>
        <w:numPr>
          <w:ilvl w:val="0"/>
          <w:numId w:val="1001"/>
        </w:numPr>
      </w:pPr>
      <w:r>
        <w:rPr>
          <w:b/>
          <w:bCs/>
        </w:rPr>
        <w:t xml:space="preserve">SI-4</w:t>
      </w:r>
      <w:r>
        <w:t xml:space="preserve"> </w:t>
      </w:r>
      <w:r>
        <w:t xml:space="preserve">— the telemetry that proves any of the above happened</w:t>
      </w:r>
    </w:p>
    <w:p>
      <w:pPr>
        <w:pStyle w:val="FirstParagraph"/>
      </w:pPr>
      <w:r>
        <w:t xml:space="preserve">These controls cannot be inherited. They must be</w:t>
      </w:r>
      <w:r>
        <w:t xml:space="preserve"> </w:t>
      </w:r>
      <w:r>
        <w:rPr>
          <w:i/>
          <w:iCs/>
        </w:rPr>
        <w:t xml:space="preserve">closed by gear the agency</w:t>
      </w:r>
      <w:r>
        <w:rPr>
          <w:i/>
          <w:iCs/>
        </w:rPr>
        <w:t xml:space="preserve"> </w:t>
      </w:r>
      <w:r>
        <w:rPr>
          <w:i/>
          <w:iCs/>
        </w:rPr>
        <w:t xml:space="preserve">owns</w:t>
      </w:r>
      <w:r>
        <w:t xml:space="preserve"> </w:t>
      </w:r>
      <w:r>
        <w:t xml:space="preserve">— and that gear is accredited on an entirely different registry than a</w:t>
      </w:r>
      <w:r>
        <w:t xml:space="preserve"> </w:t>
      </w:r>
      <w:r>
        <w:t xml:space="preserve">cloud service, with different evidence. This book states that gate (Theme F of</w:t>
      </w:r>
      <w:r>
        <w:t xml:space="preserve"> </w:t>
      </w:r>
      <w:r>
        <w:t xml:space="preserve">the series), then maps it across the three network-equipment manufacturers a</w:t>
      </w:r>
      <w:r>
        <w:t xml:space="preserve"> </w:t>
      </w:r>
      <w:r>
        <w:t xml:space="preserve">federal agency is most likely to field:</w:t>
      </w:r>
      <w:r>
        <w:t xml:space="preserve"> </w:t>
      </w:r>
      <w:r>
        <w:rPr>
          <w:b/>
          <w:bCs/>
        </w:rPr>
        <w:t xml:space="preserve">Cisco, Palo Alto Networks, and</w:t>
      </w:r>
      <w:r>
        <w:rPr>
          <w:b/>
          <w:bCs/>
        </w:rPr>
        <w:t xml:space="preserve"> </w:t>
      </w:r>
      <w:r>
        <w:rPr>
          <w:b/>
          <w:bCs/>
        </w:rPr>
        <w:t xml:space="preserve">Juniper Networks.</w:t>
      </w:r>
    </w:p>
    <w:bookmarkEnd w:id="10"/>
    <w:bookmarkStart w:id="11" w:name="X645efb6f14b29d948fb63ebda62b903929adbe4"/>
    <w:p>
      <w:pPr>
        <w:pStyle w:val="Heading1"/>
      </w:pPr>
      <w:r>
        <w:t xml:space="preserve">2. The Shared-Responsibility Line Decides Who Closes the Control</w:t>
      </w:r>
    </w:p>
    <w:p>
      <w:pPr>
        <w:pStyle w:val="FirstParagraph"/>
      </w:pPr>
      <w:r>
        <w:t xml:space="preserve">FedRAMP answers</w:t>
      </w:r>
      <w:r>
        <w:t xml:space="preserve"> </w:t>
      </w:r>
      <w:r>
        <w:t xml:space="preserve">“is this cloud service authorized for federal use?”</w:t>
      </w:r>
      <w:r>
        <w:t xml:space="preserve"> </w:t>
      </w:r>
      <w:r>
        <w:t xml:space="preserve">It does not,</w:t>
      </w:r>
      <w:r>
        <w:t xml:space="preserve"> </w:t>
      </w:r>
      <w:r>
        <w:t xml:space="preserve">and cannot, answer</w:t>
      </w:r>
      <w:r>
        <w:t xml:space="preserve"> </w:t>
      </w:r>
      <w:r>
        <w:t xml:space="preserve">“is the firewall in your branch office hardened and</w:t>
      </w:r>
      <w:r>
        <w:t xml:space="preserve"> </w:t>
      </w:r>
      <w:r>
        <w:t xml:space="preserve">validated?”</w:t>
      </w:r>
      <w:r>
        <w:t xml:space="preserve"> </w:t>
      </w:r>
      <w:r>
        <w:t xml:space="preserve">The shared-responsibility model draws the line: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Layer</w:t>
            </w:r>
          </w:p>
        </w:tc>
        <w:tc>
          <w:tcPr/>
          <w:p>
            <w:pPr>
              <w:pStyle w:val="Compact"/>
            </w:pPr>
            <w:r>
              <w:t xml:space="preserve">Who operates it</w:t>
            </w:r>
          </w:p>
        </w:tc>
        <w:tc>
          <w:tcPr/>
          <w:p>
            <w:pPr>
              <w:pStyle w:val="Compact"/>
            </w:pPr>
            <w:r>
              <w:t xml:space="preserve">How the control is attested</w:t>
            </w:r>
          </w:p>
        </w:tc>
      </w:tr>
      <w:tr>
        <w:tc>
          <w:tcPr/>
          <w:p>
            <w:pPr>
              <w:pStyle w:val="Compact"/>
            </w:pPr>
            <w:r>
              <w:t xml:space="preserve">SaaS / PaaS control implementation</w:t>
            </w:r>
          </w:p>
        </w:tc>
        <w:tc>
          <w:tcPr/>
          <w:p>
            <w:pPr>
              <w:pStyle w:val="Compact"/>
            </w:pPr>
            <w:r>
              <w:t xml:space="preserve">Cloud provider</w:t>
            </w:r>
          </w:p>
        </w:tc>
        <w:tc>
          <w:tcPr/>
          <w:p>
            <w:pPr>
              <w:pStyle w:val="Compact"/>
            </w:pPr>
            <w:r>
              <w:t xml:space="preserve">Inherited from the provider’s</w:t>
            </w:r>
            <w:r>
              <w:t xml:space="preserve"> </w:t>
            </w:r>
            <w:r>
              <w:rPr>
                <w:b/>
                <w:bCs/>
              </w:rPr>
              <w:t xml:space="preserve">FedRAMP</w:t>
            </w:r>
            <w:r>
              <w:t xml:space="preserve"> </w:t>
            </w:r>
            <w:r>
              <w:t xml:space="preserve">package (leveraged authorization)</w:t>
            </w:r>
          </w:p>
        </w:tc>
      </w:tr>
      <w:tr>
        <w:tc>
          <w:tcPr/>
          <w:p>
            <w:pPr>
              <w:pStyle w:val="Compact"/>
            </w:pPr>
            <w:r>
              <w:t xml:space="preserve">IaaS guest OS and workload</w:t>
            </w:r>
          </w:p>
        </w:tc>
        <w:tc>
          <w:tcPr/>
          <w:p>
            <w:pPr>
              <w:pStyle w:val="Compact"/>
            </w:pPr>
            <w:r>
              <w:t xml:space="preserve">Agency</w:t>
            </w:r>
          </w:p>
        </w:tc>
        <w:tc>
          <w:tcPr/>
          <w:p>
            <w:pPr>
              <w:pStyle w:val="Compact"/>
            </w:pPr>
            <w:r>
              <w:t xml:space="preserve">Agency ConMon evidence (see the identity, patch, and telemetry books)</w:t>
            </w:r>
          </w:p>
        </w:tc>
      </w:tr>
      <w:tr>
        <w:tc>
          <w:tcPr/>
          <w:p>
            <w:pPr>
              <w:pStyle w:val="Compact"/>
            </w:pPr>
            <w:r>
              <w:rPr>
                <w:b/>
                <w:bCs/>
              </w:rPr>
              <w:t xml:space="preserve">Network path to the cloud boundary — branch, WAN edge, DIA circuit, access layer</w:t>
            </w:r>
          </w:p>
        </w:tc>
        <w:tc>
          <w:tcPr/>
          <w:p>
            <w:pPr>
              <w:pStyle w:val="Compact"/>
            </w:pPr>
            <w:r>
              <w:rPr>
                <w:b/>
                <w:bCs/>
              </w:rPr>
              <w:t xml:space="preserve">Agency</w:t>
            </w:r>
          </w:p>
        </w:tc>
        <w:tc>
          <w:tcPr/>
          <w:p>
            <w:pPr>
              <w:pStyle w:val="Compact"/>
            </w:pPr>
            <w:r>
              <w:rPr>
                <w:b/>
                <w:bCs/>
              </w:rPr>
              <w:t xml:space="preserve">The equipment’s own NIAP evaluation, DISA STIG compliance, and FIPS 140-3 module — not a FedRAMP package</w:t>
            </w:r>
          </w:p>
        </w:tc>
      </w:tr>
    </w:tbl>
    <w:p>
      <w:pPr>
        <w:pStyle w:val="BodyText"/>
      </w:pPr>
      <w:r>
        <w:t xml:space="preserve">The line matters because an assessor asked to see evidence for SC-7 at a field</w:t>
      </w:r>
      <w:r>
        <w:t xml:space="preserve"> </w:t>
      </w:r>
      <w:r>
        <w:t xml:space="preserve">office will not accept</w:t>
      </w:r>
      <w:r>
        <w:t xml:space="preserve"> </w:t>
      </w:r>
      <w:r>
        <w:t xml:space="preserve">“our cloud provider is FedRAMP-authorized.”</w:t>
      </w:r>
      <w:r>
        <w:t xml:space="preserve"> </w:t>
      </w:r>
      <w:r>
        <w:t xml:space="preserve">The boundary</w:t>
      </w:r>
      <w:r>
        <w:t xml:space="preserve"> </w:t>
      </w:r>
      <w:r>
        <w:t xml:space="preserve">protection at that office is enforced by an appliance the agency bought,</w:t>
      </w:r>
      <w:r>
        <w:t xml:space="preserve"> </w:t>
      </w:r>
      <w:r>
        <w:t xml:space="preserve">configured, and operates — and the evidence lives in that appliance’s</w:t>
      </w:r>
      <w:r>
        <w:t xml:space="preserve"> </w:t>
      </w:r>
      <w:r>
        <w:t xml:space="preserve">accreditation, not the provider’s.</w:t>
      </w:r>
    </w:p>
    <w:bookmarkEnd w:id="11"/>
    <w:bookmarkStart w:id="13" w:name="Xbb7d9a87480f19fc38d8ebcdffcc1c66deb9ad7"/>
    <w:p>
      <w:pPr>
        <w:pStyle w:val="Heading1"/>
      </w:pPr>
      <w:r>
        <w:t xml:space="preserve">3. Theme F Formalized — The Accreditation Gate for Network Gear</w:t>
      </w:r>
    </w:p>
    <w:p>
      <w:pPr>
        <w:pStyle w:val="FirstParagraph"/>
      </w:pPr>
      <w:r>
        <w:t xml:space="preserve">A cloud service passes one gate: FedRAMP. Network and endpoint</w:t>
      </w:r>
      <w:r>
        <w:t xml:space="preserve"> </w:t>
      </w:r>
      <w:r>
        <w:rPr>
          <w:i/>
          <w:iCs/>
        </w:rPr>
        <w:t xml:space="preserve">gear</w:t>
      </w:r>
      <w:r>
        <w:t xml:space="preserve"> </w:t>
      </w:r>
      <w:r>
        <w:t xml:space="preserve">passes a</w:t>
      </w:r>
      <w:r>
        <w:t xml:space="preserve"> </w:t>
      </w:r>
      <w:r>
        <w:t xml:space="preserve">composed gate of four federal mechanisms, each certifying a different property.</w:t>
      </w:r>
    </w:p>
    <w:p>
      <w:pPr>
        <w:pStyle w:val="TableCaption"/>
      </w:pPr>
      <w:r>
        <w:t xml:space="preserve">The Four-Part Accreditation Gate for Network Gear</w:t>
      </w:r>
    </w:p>
    <w:tbl>
      <w:tblPr>
        <w:tblStyle w:val="Table"/>
        <w:tblW w:type="pct" w:w="5000"/>
        <w:tblLayout w:type="fixed"/>
        <w:tblLook w:firstRow="1" w:lastRow="0" w:firstColumn="0" w:lastColumn="0" w:noHBand="0" w:noVBand="0" w:val="0020"/>
        <w:tblCaption w:val="The Four-Part Accreditation Gate for Network Gear"/>
      </w:tblPr>
      <w:tblGrid>
        <w:gridCol w:w="2640"/>
        <w:gridCol w:w="2640"/>
        <w:gridCol w:w="2640"/>
      </w:tblGrid>
      <w:tr>
        <w:trPr>
          <w:tblHeader w:val="on"/>
        </w:trPr>
        <w:tc>
          <w:tcPr/>
          <w:p>
            <w:pPr>
              <w:pStyle w:val="Compact"/>
            </w:pPr>
            <w:r>
              <w:t xml:space="preserve">Mechanism</w:t>
            </w:r>
          </w:p>
        </w:tc>
        <w:tc>
          <w:tcPr/>
          <w:p>
            <w:pPr>
              <w:pStyle w:val="Compact"/>
            </w:pPr>
            <w:r>
              <w:t xml:space="preserve">Registry / authority</w:t>
            </w:r>
          </w:p>
        </w:tc>
        <w:tc>
          <w:tcPr/>
          <w:p>
            <w:pPr>
              <w:pStyle w:val="Compact"/>
            </w:pPr>
            <w:r>
              <w:t xml:space="preserve">What it certifies</w:t>
            </w:r>
          </w:p>
        </w:tc>
      </w:tr>
      <w:tr>
        <w:tc>
          <w:tcPr/>
          <w:p>
            <w:pPr>
              <w:pStyle w:val="Compact"/>
            </w:pPr>
            <w:r>
              <w:rPr>
                <w:b/>
                <w:bCs/>
              </w:rPr>
              <w:t xml:space="preserve">NIAP Common Criteria</w:t>
            </w:r>
          </w:p>
        </w:tc>
        <w:tc>
          <w:tcPr/>
          <w:p>
            <w:pPr>
              <w:pStyle w:val="Compact"/>
            </w:pPr>
            <w:r>
              <w:t xml:space="preserve">NIAP Product Compliant List (Protection Profiles for Network Devices, Stateful Firewalls, etc.)</w:t>
            </w:r>
          </w:p>
        </w:tc>
        <w:tc>
          <w:tcPr/>
          <w:p>
            <w:pPr>
              <w:pStyle w:val="Compact"/>
            </w:pPr>
            <w:r>
              <w:t xml:space="preserve">The product was independently evaluated against a federal Protection Profile — its security functions work as claimed in an evaluated configuration</w:t>
            </w:r>
          </w:p>
        </w:tc>
      </w:tr>
      <w:tr>
        <w:tc>
          <w:tcPr/>
          <w:p>
            <w:pPr>
              <w:pStyle w:val="Compact"/>
            </w:pPr>
            <w:r>
              <w:rPr>
                <w:b/>
                <w:bCs/>
              </w:rPr>
              <w:t xml:space="preserve">DISA STIG</w:t>
            </w:r>
          </w:p>
        </w:tc>
        <w:tc>
          <w:tcPr/>
          <w:p>
            <w:pPr>
              <w:pStyle w:val="Compact"/>
            </w:pPr>
            <w:r>
              <w:t xml:space="preserve">DoD Cyber Exchange</w:t>
            </w:r>
          </w:p>
        </w:tc>
        <w:tc>
          <w:tcPr/>
          <w:p>
            <w:pPr>
              <w:pStyle w:val="Compact"/>
            </w:pPr>
            <w:r>
              <w:t xml:space="preserve">The hardened configuration baseline the device must run in; STIG-compliance scans are the operational evidence</w:t>
            </w:r>
          </w:p>
        </w:tc>
      </w:tr>
      <w:tr>
        <w:tc>
          <w:tcPr/>
          <w:p>
            <w:pPr>
              <w:pStyle w:val="Compact"/>
            </w:pPr>
            <w:r>
              <w:rPr>
                <w:b/>
                <w:bCs/>
              </w:rPr>
              <w:t xml:space="preserve">FIPS 140-3</w:t>
            </w:r>
          </w:p>
        </w:tc>
        <w:tc>
          <w:tcPr/>
          <w:p>
            <w:pPr>
              <w:pStyle w:val="Compact"/>
            </w:pPr>
            <w:r>
              <w:t xml:space="preserve">NIST Cryptographic Module Validation Program (CMVP)</w:t>
            </w:r>
          </w:p>
        </w:tc>
        <w:tc>
          <w:tcPr/>
          <w:p>
            <w:pPr>
              <w:pStyle w:val="Compact"/>
            </w:pPr>
            <w:r>
              <w:t xml:space="preserve">The cryptographic module performing SC-8/SC-13 encryption is validated — not merely</w:t>
            </w:r>
            <w:r>
              <w:t xml:space="preserve"> </w:t>
            </w:r>
            <w:r>
              <w:t xml:space="preserve">“AES-capable”</w:t>
            </w:r>
          </w:p>
        </w:tc>
      </w:tr>
      <w:tr>
        <w:tc>
          <w:tcPr/>
          <w:p>
            <w:pPr>
              <w:pStyle w:val="Compact"/>
            </w:pPr>
            <w:r>
              <w:rPr>
                <w:b/>
                <w:bCs/>
              </w:rPr>
              <w:t xml:space="preserve">DoDIN APL</w:t>
            </w:r>
          </w:p>
        </w:tc>
        <w:tc>
          <w:tcPr/>
          <w:p>
            <w:pPr>
              <w:pStyle w:val="Compact"/>
            </w:pPr>
            <w:r>
              <w:t xml:space="preserve">DISA Approved Products List</w:t>
            </w:r>
          </w:p>
        </w:tc>
        <w:tc>
          <w:tcPr/>
          <w:p>
            <w:pPr>
              <w:pStyle w:val="Compact"/>
            </w:pPr>
            <w:r>
              <w:t xml:space="preserve">The product is approved to connect to DoD networks (the strictest federal fielding gate; civilian agencies frequently treat APL listing as an assurance signal)</w:t>
            </w:r>
          </w:p>
        </w:tc>
      </w:tr>
    </w:tbl>
    <w:p>
      <w:pPr>
        <w:pStyle w:val="BodyText"/>
      </w:pPr>
      <w:r>
        <w:t xml:space="preserve">These compose: an appliance may be</w:t>
      </w:r>
      <w:r>
        <w:t xml:space="preserve"> </w:t>
      </w:r>
      <w:r>
        <w:rPr>
          <w:b/>
          <w:bCs/>
        </w:rPr>
        <w:t xml:space="preserve">NIAP-evaluated</w:t>
      </w:r>
      <w:r>
        <w:t xml:space="preserve"> </w:t>
      </w:r>
      <w:r>
        <w:t xml:space="preserve">(its design was assessed),</w:t>
      </w:r>
      <w:r>
        <w:t xml:space="preserve"> </w:t>
      </w:r>
      <w:r>
        <w:t xml:space="preserve">running a</w:t>
      </w:r>
      <w:r>
        <w:t xml:space="preserve"> </w:t>
      </w:r>
      <w:r>
        <w:rPr>
          <w:b/>
          <w:bCs/>
        </w:rPr>
        <w:t xml:space="preserve">DISA STIG</w:t>
      </w:r>
      <w:r>
        <w:t xml:space="preserve"> </w:t>
      </w:r>
      <w:r>
        <w:t xml:space="preserve">baseline (it is hardened), with a</w:t>
      </w:r>
      <w:r>
        <w:t xml:space="preserve"> </w:t>
      </w:r>
      <w:r>
        <w:rPr>
          <w:b/>
          <w:bCs/>
        </w:rPr>
        <w:t xml:space="preserve">FIPS 140-3</w:t>
      </w:r>
      <w:r>
        <w:t xml:space="preserve"> </w:t>
      </w:r>
      <w:r>
        <w:t xml:space="preserve">module</w:t>
      </w:r>
      <w:r>
        <w:t xml:space="preserve"> </w:t>
      </w:r>
      <w:r>
        <w:t xml:space="preserve">(its crypto is validated), and</w:t>
      </w:r>
      <w:r>
        <w:t xml:space="preserve"> </w:t>
      </w:r>
      <w:r>
        <w:rPr>
          <w:b/>
          <w:bCs/>
        </w:rPr>
        <w:t xml:space="preserve">DoDIN APL-listed</w:t>
      </w:r>
      <w:r>
        <w:t xml:space="preserve"> </w:t>
      </w:r>
      <w:r>
        <w:t xml:space="preserve">(it is approved to field).</w:t>
      </w:r>
      <w:r>
        <w:t xml:space="preserve"> </w:t>
      </w:r>
      <w:r>
        <w:t xml:space="preserve">An agency’s control evidence for edge-enforced controls is assembled from these</w:t>
      </w:r>
      <w:r>
        <w:t xml:space="preserve"> </w:t>
      </w:r>
      <w:r>
        <w:t xml:space="preserve">four sources — the NIAP validation report, the STIG scan output, the CMVP</w:t>
      </w:r>
      <w:r>
        <w:t xml:space="preserve"> </w:t>
      </w:r>
      <w:r>
        <w:t xml:space="preserve">certificate number, and the APL listing — none of which appears in any cloud</w:t>
      </w:r>
      <w:r>
        <w:t xml:space="preserve"> </w:t>
      </w:r>
      <w:r>
        <w:t xml:space="preserve">provider’s FedRAMP package.</w:t>
      </w:r>
    </w:p>
    <w:bookmarkStart w:id="12" w:name="fedramp-scope-reminder"/>
    <w:p>
      <w:pPr>
        <w:pStyle w:val="Heading2"/>
      </w:pPr>
      <w:r>
        <w:t xml:space="preserve">3.1 FedRAMP scope reminder</w:t>
      </w:r>
    </w:p>
    <w:p>
      <w:pPr>
        <w:pStyle w:val="FirstParagraph"/>
      </w:pPr>
      <w:r>
        <w:t xml:space="preserve">This series targets</w:t>
      </w:r>
      <w:r>
        <w:t xml:space="preserve"> </w:t>
      </w:r>
      <w:r>
        <w:rPr>
          <w:b/>
          <w:bCs/>
        </w:rPr>
        <w:t xml:space="preserve">FedRAMP Moderate</w:t>
      </w:r>
      <w:r>
        <w:t xml:space="preserve">. Where a vendor also offers a</w:t>
      </w:r>
      <w:r>
        <w:t xml:space="preserve"> </w:t>
      </w:r>
      <w:r>
        <w:t xml:space="preserve">cloud-delivered capability that carries its own FedRAMP authorization (for</w:t>
      </w:r>
      <w:r>
        <w:t xml:space="preserve"> </w:t>
      </w:r>
      <w:r>
        <w:t xml:space="preserve">example, a SASE service — see</w:t>
      </w:r>
      <w:r>
        <w:t xml:space="preserve"> </w:t>
      </w:r>
      <w:r>
        <w:rPr>
          <w:i/>
          <w:iCs/>
        </w:rPr>
        <w:t xml:space="preserve">Where Gear Becomes a Cloud Service</w:t>
      </w:r>
      <w:r>
        <w:t xml:space="preserve"> </w:t>
      </w:r>
      <w:r>
        <w:t xml:space="preserve">below), state</w:t>
      </w:r>
      <w:r>
        <w:t xml:space="preserve"> </w:t>
      </w:r>
      <w:r>
        <w:t xml:space="preserve">the CSO’s actual authorization status verified on the FedRAMP Marketplace at</w:t>
      </w:r>
      <w:r>
        <w:t xml:space="preserve"> </w:t>
      </w:r>
      <w:r>
        <w:t xml:space="preserve">procurement, and never claim a level above Moderate.</w:t>
      </w:r>
    </w:p>
    <w:bookmarkEnd w:id="12"/>
    <w:bookmarkEnd w:id="13"/>
    <w:bookmarkStart w:id="15" w:name="X31687fd3bb51194c8243f13fdf05a428f141d11"/>
    <w:p>
      <w:pPr>
        <w:pStyle w:val="Heading1"/>
      </w:pPr>
      <w:r>
        <w:t xml:space="preserve">4. The Enforcement Substrate — Vendor Realization</w:t>
      </w:r>
    </w:p>
    <w:p>
      <w:pPr>
        <w:pStyle w:val="FirstParagraph"/>
      </w:pPr>
      <w:r>
        <w:t xml:space="preserve">The series rule holds:</w:t>
      </w:r>
      <w:r>
        <w:t xml:space="preserve"> </w:t>
      </w:r>
      <w:r>
        <w:rPr>
          <w:b/>
          <w:bCs/>
        </w:rPr>
        <w:t xml:space="preserve">mechanism, not product.</w:t>
      </w:r>
      <w:r>
        <w:t xml:space="preserve"> </w:t>
      </w:r>
      <w:r>
        <w:t xml:space="preserve">The function is the control;</w:t>
      </w:r>
      <w:r>
        <w:t xml:space="preserve"> </w:t>
      </w:r>
      <w:r>
        <w:t xml:space="preserve">the vendor product is a deployed</w:t>
      </w:r>
      <w:r>
        <w:t xml:space="preserve"> </w:t>
      </w:r>
      <w:r>
        <w:rPr>
          <w:i/>
          <w:iCs/>
        </w:rPr>
        <w:t xml:space="preserve">example</w:t>
      </w:r>
      <w:r>
        <w:t xml:space="preserve"> </w:t>
      </w:r>
      <w:r>
        <w:t xml:space="preserve">of the mechanism. The matrix below</w:t>
      </w:r>
      <w:r>
        <w:t xml:space="preserve"> </w:t>
      </w:r>
      <w:r>
        <w:t xml:space="preserve">maps each edge function to how each of the three manufacturers realizes it, and</w:t>
      </w:r>
      <w:r>
        <w:t xml:space="preserve"> </w:t>
      </w:r>
      <w:r>
        <w:t xml:space="preserve">to the NIST control it closes. Every cell is a candidate implementation, not a</w:t>
      </w:r>
      <w:r>
        <w:t xml:space="preserve"> </w:t>
      </w:r>
      <w:r>
        <w:t xml:space="preserve">recommendation; final selection is a procurement decision validated against the</w:t>
      </w:r>
      <w:r>
        <w:t xml:space="preserve"> </w:t>
      </w:r>
      <w:r>
        <w:t xml:space="preserve">NIAP PCL, the CMVP list, and the DoDIN APL at time of buy.</w:t>
      </w:r>
    </w:p>
    <w:p>
      <w:pPr>
        <w:pStyle w:val="TableCaption"/>
      </w:pPr>
      <w:r>
        <w:t xml:space="preserve">Edge Function → Vendor Realization → NIST Control</w:t>
      </w:r>
    </w:p>
    <w:tbl>
      <w:tblPr>
        <w:tblStyle w:val="Table"/>
        <w:tblW w:type="pct" w:w="5000"/>
        <w:tblLayout w:type="fixed"/>
        <w:tblLook w:firstRow="1" w:lastRow="0" w:firstColumn="0" w:lastColumn="0" w:noHBand="0" w:noVBand="0" w:val="0020"/>
        <w:tblCaption w:val="Edge Function → Vendor Realization → NIST Control"/>
      </w:tblPr>
      <w:tblGrid>
        <w:gridCol w:w="1980"/>
        <w:gridCol w:w="1980"/>
        <w:gridCol w:w="1980"/>
        <w:gridCol w:w="1980"/>
      </w:tblGrid>
      <w:tr>
        <w:trPr>
          <w:tblHeader w:val="on"/>
        </w:trPr>
        <w:tc>
          <w:tcPr/>
          <w:p>
            <w:pPr>
              <w:pStyle w:val="Compact"/>
            </w:pPr>
            <w:r>
              <w:t xml:space="preserve">Function / NIST control</w:t>
            </w:r>
          </w:p>
        </w:tc>
        <w:tc>
          <w:tcPr/>
          <w:p>
            <w:pPr>
              <w:pStyle w:val="Compact"/>
            </w:pPr>
            <w:r>
              <w:t xml:space="preserve">Cisco</w:t>
            </w:r>
          </w:p>
        </w:tc>
        <w:tc>
          <w:tcPr/>
          <w:p>
            <w:pPr>
              <w:pStyle w:val="Compact"/>
            </w:pPr>
            <w:r>
              <w:t xml:space="preserve">Palo Alto Networks</w:t>
            </w:r>
          </w:p>
        </w:tc>
        <w:tc>
          <w:tcPr/>
          <w:p>
            <w:pPr>
              <w:pStyle w:val="Compact"/>
            </w:pPr>
            <w:r>
              <w:t xml:space="preserve">Juniper Networks</w:t>
            </w:r>
          </w:p>
        </w:tc>
      </w:tr>
      <w:tr>
        <w:tc>
          <w:tcPr/>
          <w:p>
            <w:pPr>
              <w:pStyle w:val="Compact"/>
            </w:pPr>
            <w:r>
              <w:rPr>
                <w:b/>
                <w:bCs/>
              </w:rPr>
              <w:t xml:space="preserve">Boundary protection — SC-7, SC-7(8), AC-4</w:t>
            </w:r>
          </w:p>
        </w:tc>
        <w:tc>
          <w:tcPr/>
          <w:p>
            <w:pPr>
              <w:pStyle w:val="Compact"/>
            </w:pPr>
            <w:r>
              <w:t xml:space="preserve">Secure Firewall (Firepower)</w:t>
            </w:r>
          </w:p>
        </w:tc>
        <w:tc>
          <w:tcPr/>
          <w:p>
            <w:pPr>
              <w:pStyle w:val="Compact"/>
            </w:pPr>
            <w:r>
              <w:t xml:space="preserve">NGFW / PAN-OS + Panorama</w:t>
            </w:r>
          </w:p>
        </w:tc>
        <w:tc>
          <w:tcPr/>
          <w:p>
            <w:pPr>
              <w:pStyle w:val="Compact"/>
            </w:pPr>
            <w:r>
              <w:t xml:space="preserve">SRX Series / Junos + Security Director</w:t>
            </w:r>
          </w:p>
        </w:tc>
      </w:tr>
      <w:tr>
        <w:tc>
          <w:tcPr/>
          <w:p>
            <w:pPr>
              <w:pStyle w:val="Compact"/>
            </w:pPr>
            <w:r>
              <w:rPr>
                <w:b/>
                <w:bCs/>
              </w:rPr>
              <w:t xml:space="preserve">Encrypted overlay — SC-8, SC-8(1)</w:t>
            </w:r>
          </w:p>
        </w:tc>
        <w:tc>
          <w:tcPr/>
          <w:p>
            <w:pPr>
              <w:pStyle w:val="Compact"/>
            </w:pPr>
            <w:r>
              <w:t xml:space="preserve">Catalyst SD-WAN (Viptela)</w:t>
            </w:r>
          </w:p>
        </w:tc>
        <w:tc>
          <w:tcPr/>
          <w:p>
            <w:pPr>
              <w:pStyle w:val="Compact"/>
            </w:pPr>
            <w:r>
              <w:t xml:space="preserve">Prisma SD-WAN</w:t>
            </w:r>
          </w:p>
        </w:tc>
        <w:tc>
          <w:tcPr/>
          <w:p>
            <w:pPr>
              <w:pStyle w:val="Compact"/>
            </w:pPr>
            <w:r>
              <w:t xml:space="preserve">Session Smart Router (128T)</w:t>
            </w:r>
          </w:p>
        </w:tc>
      </w:tr>
      <w:tr>
        <w:tc>
          <w:tcPr/>
          <w:p>
            <w:pPr>
              <w:pStyle w:val="Compact"/>
            </w:pPr>
            <w:r>
              <w:rPr>
                <w:b/>
                <w:bCs/>
              </w:rPr>
              <w:t xml:space="preserve">Distributed PEP / TIC 3.0 — SC-7, AC-4</w:t>
            </w:r>
          </w:p>
        </w:tc>
        <w:tc>
          <w:tcPr/>
          <w:p>
            <w:pPr>
              <w:pStyle w:val="Compact"/>
            </w:pPr>
            <w:r>
              <w:t xml:space="preserve">Secure Access / Umbrella (cloud)</w:t>
            </w:r>
          </w:p>
        </w:tc>
        <w:tc>
          <w:tcPr/>
          <w:p>
            <w:pPr>
              <w:pStyle w:val="Compact"/>
            </w:pPr>
            <w:r>
              <w:t xml:space="preserve">Prisma Access (cloud SASE)</w:t>
            </w:r>
          </w:p>
        </w:tc>
        <w:tc>
          <w:tcPr/>
          <w:p>
            <w:pPr>
              <w:pStyle w:val="Compact"/>
            </w:pPr>
            <w:r>
              <w:t xml:space="preserve">— (partners for SASE)</w:t>
            </w:r>
          </w:p>
        </w:tc>
      </w:tr>
      <w:tr>
        <w:tc>
          <w:tcPr/>
          <w:p>
            <w:pPr>
              <w:pStyle w:val="Compact"/>
            </w:pPr>
            <w:r>
              <w:rPr>
                <w:b/>
                <w:bCs/>
              </w:rPr>
              <w:t xml:space="preserve">Device identity / NAC — IA-3, AC-19</w:t>
            </w:r>
          </w:p>
        </w:tc>
        <w:tc>
          <w:tcPr/>
          <w:p>
            <w:pPr>
              <w:pStyle w:val="Compact"/>
            </w:pPr>
            <w:r>
              <w:t xml:space="preserve">ISE + TrustSec</w:t>
            </w:r>
          </w:p>
        </w:tc>
        <w:tc>
          <w:tcPr/>
          <w:p>
            <w:pPr>
              <w:pStyle w:val="Compact"/>
            </w:pPr>
            <w:r>
              <w:t xml:space="preserve">— (integrates 802.1X)</w:t>
            </w:r>
          </w:p>
        </w:tc>
        <w:tc>
          <w:tcPr/>
          <w:p>
            <w:pPr>
              <w:pStyle w:val="Compact"/>
            </w:pPr>
            <w:r>
              <w:t xml:space="preserve">Mist Access Assurance</w:t>
            </w:r>
          </w:p>
        </w:tc>
      </w:tr>
      <w:tr>
        <w:tc>
          <w:tcPr/>
          <w:p>
            <w:pPr>
              <w:pStyle w:val="Compact"/>
            </w:pPr>
            <w:r>
              <w:rPr>
                <w:b/>
                <w:bCs/>
              </w:rPr>
              <w:t xml:space="preserve">Config-as-truth — CM-2, CM-6</w:t>
            </w:r>
          </w:p>
        </w:tc>
        <w:tc>
          <w:tcPr/>
          <w:p>
            <w:pPr>
              <w:pStyle w:val="Compact"/>
            </w:pPr>
            <w:r>
              <w:t xml:space="preserve">Catalyst Center</w:t>
            </w:r>
          </w:p>
        </w:tc>
        <w:tc>
          <w:tcPr/>
          <w:p>
            <w:pPr>
              <w:pStyle w:val="Compact"/>
            </w:pPr>
            <w:r>
              <w:t xml:space="preserve">—</w:t>
            </w:r>
          </w:p>
        </w:tc>
        <w:tc>
          <w:tcPr/>
          <w:p>
            <w:pPr>
              <w:pStyle w:val="Compact"/>
            </w:pPr>
            <w:r>
              <w:t xml:space="preserve">Apstra (intent-based)</w:t>
            </w:r>
          </w:p>
        </w:tc>
      </w:tr>
      <w:tr>
        <w:tc>
          <w:tcPr/>
          <w:p>
            <w:pPr>
              <w:pStyle w:val="Compact"/>
            </w:pPr>
            <w:r>
              <w:rPr>
                <w:b/>
                <w:bCs/>
              </w:rPr>
              <w:t xml:space="preserve">Detection / telemetry — SI-4, AU-6</w:t>
            </w:r>
          </w:p>
        </w:tc>
        <w:tc>
          <w:tcPr/>
          <w:p>
            <w:pPr>
              <w:pStyle w:val="Compact"/>
            </w:pPr>
            <w:r>
              <w:t xml:space="preserve">Secure Network Analytics, XDR</w:t>
            </w:r>
          </w:p>
        </w:tc>
        <w:tc>
          <w:tcPr/>
          <w:p>
            <w:pPr>
              <w:pStyle w:val="Compact"/>
            </w:pPr>
            <w:r>
              <w:t xml:space="preserve">Cortex XDR / XSIAM</w:t>
            </w:r>
          </w:p>
        </w:tc>
        <w:tc>
          <w:tcPr/>
          <w:p>
            <w:pPr>
              <w:pStyle w:val="Compact"/>
            </w:pPr>
            <w:r>
              <w:t xml:space="preserve">— (flow export to SIEM)</w:t>
            </w:r>
          </w:p>
        </w:tc>
      </w:tr>
      <w:tr>
        <w:tc>
          <w:tcPr/>
          <w:p>
            <w:pPr>
              <w:pStyle w:val="Compact"/>
            </w:pPr>
            <w:r>
              <w:rPr>
                <w:b/>
                <w:bCs/>
              </w:rPr>
              <w:t xml:space="preserve">Remote access — AC-17</w:t>
            </w:r>
          </w:p>
        </w:tc>
        <w:tc>
          <w:tcPr/>
          <w:p>
            <w:pPr>
              <w:pStyle w:val="Compact"/>
            </w:pPr>
            <w:r>
              <w:t xml:space="preserve">Secure Client (AnyConnect)</w:t>
            </w:r>
          </w:p>
        </w:tc>
        <w:tc>
          <w:tcPr/>
          <w:p>
            <w:pPr>
              <w:pStyle w:val="Compact"/>
            </w:pPr>
            <w:r>
              <w:t xml:space="preserve">GlobalProtect</w:t>
            </w:r>
          </w:p>
        </w:tc>
        <w:tc>
          <w:tcPr/>
          <w:p>
            <w:pPr>
              <w:pStyle w:val="Compact"/>
            </w:pPr>
            <w:r>
              <w:t xml:space="preserve">—</w:t>
            </w:r>
          </w:p>
        </w:tc>
      </w:tr>
    </w:tbl>
    <w:bookmarkStart w:id="14" w:name="X4af2e26f40127b947c1711c02b21869375f4ec9"/>
    <w:p>
      <w:pPr>
        <w:pStyle w:val="Heading2"/>
      </w:pPr>
      <w:r>
        <w:t xml:space="preserve">4.1 Worked closures — the functions that must be gear</w:t>
      </w:r>
    </w:p>
    <w:p>
      <w:pPr>
        <w:pStyle w:val="FirstParagraph"/>
      </w:pPr>
      <w:r>
        <w:t xml:space="preserve">Three functions in the matrix are</w:t>
      </w:r>
      <w:r>
        <w:t xml:space="preserve"> </w:t>
      </w:r>
      <w:r>
        <w:rPr>
          <w:i/>
          <w:iCs/>
        </w:rPr>
        <w:t xml:space="preserve">necessity closures</w:t>
      </w:r>
      <w:r>
        <w:t xml:space="preserve">: no cloud inheritance and</w:t>
      </w:r>
      <w:r>
        <w:t xml:space="preserve"> </w:t>
      </w:r>
      <w:r>
        <w:t xml:space="preserve">no scanner can substitute for the equipment.</w:t>
      </w:r>
    </w:p>
    <w:p>
      <w:pPr>
        <w:pStyle w:val="BodyText"/>
      </w:pPr>
      <w:r>
        <w:rPr>
          <w:b/>
          <w:bCs/>
        </w:rPr>
        <w:t xml:space="preserve">SC-8 network-layer encryption on the circuit (necessity).</w:t>
      </w:r>
      <w:r>
        <w:t xml:space="preserve"> </w:t>
      </w:r>
      <w:r>
        <w:t xml:space="preserve">A DIA or MPLS</w:t>
      </w:r>
      <w:r>
        <w:t xml:space="preserve"> </w:t>
      </w:r>
      <w:r>
        <w:t xml:space="preserve">circuit carries traffic that is unencrypted at the network layer unless an</w:t>
      </w:r>
      <w:r>
        <w:t xml:space="preserve"> </w:t>
      </w:r>
      <w:r>
        <w:t xml:space="preserve">overlay encrypts it. Application-layer TLS is not a substitute — it covers only</w:t>
      </w:r>
      <w:r>
        <w:t xml:space="preserve"> </w:t>
      </w:r>
      <w:r>
        <w:t xml:space="preserve">TLS-aware flows and provides no network-layer integrity for the rest. The only</w:t>
      </w:r>
      <w:r>
        <w:t xml:space="preserve"> </w:t>
      </w:r>
      <w:r>
        <w:t xml:space="preserve">mechanism that encrypts</w:t>
      </w:r>
      <w:r>
        <w:t xml:space="preserve"> </w:t>
      </w:r>
      <w:r>
        <w:rPr>
          <w:i/>
          <w:iCs/>
        </w:rPr>
        <w:t xml:space="preserve">all</w:t>
      </w:r>
      <w:r>
        <w:t xml:space="preserve"> </w:t>
      </w:r>
      <w:r>
        <w:t xml:space="preserve">traffic on the path is an IPsec (or MACsec,</w:t>
      </w:r>
      <w:r>
        <w:t xml:space="preserve"> </w:t>
      </w:r>
      <w:r>
        <w:t xml:space="preserve">hop-by-hop) overlay terminated on customer edge equipment — Catalyst SD-WAN,</w:t>
      </w:r>
      <w:r>
        <w:t xml:space="preserve"> </w:t>
      </w:r>
      <w:r>
        <w:t xml:space="preserve">Prisma SD-WAN, or Session Smart Router. The cipher must be a</w:t>
      </w:r>
      <w:r>
        <w:t xml:space="preserve"> </w:t>
      </w:r>
      <w:r>
        <w:rPr>
          <w:b/>
          <w:bCs/>
        </w:rPr>
        <w:t xml:space="preserve">FIPS 140-3</w:t>
      </w:r>
      <w:r>
        <w:rPr>
          <w:b/>
          <w:bCs/>
        </w:rPr>
        <w:t xml:space="preserve"> </w:t>
      </w:r>
      <w:r>
        <w:rPr>
          <w:b/>
          <w:bCs/>
        </w:rPr>
        <w:t xml:space="preserve">validated</w:t>
      </w:r>
      <w:r>
        <w:t xml:space="preserve"> </w:t>
      </w:r>
      <w:r>
        <w:t xml:space="preserve">module, which is a property of the appliance, not of the protocol.</w:t>
      </w:r>
    </w:p>
    <w:p>
      <w:pPr>
        <w:pStyle w:val="BodyText"/>
      </w:pPr>
      <w:r>
        <w:rPr>
          <w:b/>
          <w:bCs/>
        </w:rPr>
        <w:t xml:space="preserve">IA-3 device identity at the port (necessity).</w:t>
      </w:r>
      <w:r>
        <w:t xml:space="preserve"> </w:t>
      </w:r>
      <w:r>
        <w:t xml:space="preserve">Before any user authenticates,</w:t>
      </w:r>
      <w:r>
        <w:t xml:space="preserve"> </w:t>
      </w:r>
      <w:r>
        <w:t xml:space="preserve">the network must know what is physically connected. That is an 802.1X</w:t>
      </w:r>
      <w:r>
        <w:t xml:space="preserve"> </w:t>
      </w:r>
      <w:r>
        <w:t xml:space="preserve">authenticator function performed by the access switch, paired with a NAC policy</w:t>
      </w:r>
      <w:r>
        <w:t xml:space="preserve"> </w:t>
      </w:r>
      <w:r>
        <w:t xml:space="preserve">service — ISE on-premises, or a cloud-hosted service such as Mist Access</w:t>
      </w:r>
      <w:r>
        <w:t xml:space="preserve"> </w:t>
      </w:r>
      <w:r>
        <w:t xml:space="preserve">Assurance. The authenticator itself is always on the wire, in gear the agency</w:t>
      </w:r>
      <w:r>
        <w:t xml:space="preserve"> </w:t>
      </w:r>
      <w:r>
        <w:t xml:space="preserve">owns; the port-level enforcement cannot move off the switch. Where the NAC policy</w:t>
      </w:r>
      <w:r>
        <w:t xml:space="preserve"> </w:t>
      </w:r>
      <w:r>
        <w:t xml:space="preserve">service is cloud-delivered it is a second gear-becomes-cloud-service crossover</w:t>
      </w:r>
      <w:r>
        <w:t xml:space="preserve"> </w:t>
      </w:r>
      <w:r>
        <w:t xml:space="preserve">alongside the SASE PEP below, carrying FedRAMP-side evidence for its policy plane</w:t>
      </w:r>
      <w:r>
        <w:t xml:space="preserve"> </w:t>
      </w:r>
      <w:r>
        <w:t xml:space="preserve">even though the IA-3 authenticator anchored here stays on-premises under the</w:t>
      </w:r>
      <w:r>
        <w:t xml:space="preserve"> </w:t>
      </w:r>
      <w:r>
        <w:t xml:space="preserve">NIAP/STIG/FIPS gate.</w:t>
      </w:r>
    </w:p>
    <w:p>
      <w:pPr>
        <w:pStyle w:val="BodyText"/>
      </w:pPr>
      <w:r>
        <w:rPr>
          <w:b/>
          <w:bCs/>
        </w:rPr>
        <w:t xml:space="preserve">SC-7 boundary protection at the branch (necessity under TIC 3.0).</w:t>
      </w:r>
      <w:r>
        <w:t xml:space="preserve"> </w:t>
      </w:r>
      <w:r>
        <w:t xml:space="preserve">Under TIC</w:t>
      </w:r>
      <w:r>
        <w:t xml:space="preserve"> </w:t>
      </w:r>
      <w:r>
        <w:t xml:space="preserve">3.0, a branch running Direct Internet Access requires a distributed enforcement</w:t>
      </w:r>
      <w:r>
        <w:t xml:space="preserve"> </w:t>
      </w:r>
      <w:r>
        <w:t xml:space="preserve">point providing protection</w:t>
      </w:r>
      <w:r>
        <w:t xml:space="preserve"> </w:t>
      </w:r>
      <w:r>
        <w:rPr>
          <w:i/>
          <w:iCs/>
        </w:rPr>
        <w:t xml:space="preserve">commensurate with the agency’s risk tolerance</w:t>
      </w:r>
      <w:r>
        <w:t xml:space="preserve"> </w:t>
      </w:r>
      <w:r>
        <w:t xml:space="preserve">— in</w:t>
      </w:r>
      <w:r>
        <w:t xml:space="preserve"> </w:t>
      </w:r>
      <w:r>
        <w:t xml:space="preserve">practice the applicable security-capabilities catalog entries.</w:t>
      </w:r>
      <w:r>
        <w:t xml:space="preserve"> </w:t>
      </w:r>
      <w:r>
        <w:t xml:space="preserve">That PEP is either an on-premises NGFW (Secure Firewall, PAN-OS NGFW, SRX) or a</w:t>
      </w:r>
      <w:r>
        <w:t xml:space="preserve"> </w:t>
      </w:r>
      <w:r>
        <w:t xml:space="preserve">cloud-delivered SASE service — and which one it is determines which gate applies</w:t>
      </w:r>
      <w:r>
        <w:t xml:space="preserve"> </w:t>
      </w:r>
      <w:r>
        <w:t xml:space="preserve">(next section).</w:t>
      </w:r>
    </w:p>
    <w:bookmarkEnd w:id="14"/>
    <w:bookmarkEnd w:id="15"/>
    <w:bookmarkStart w:id="16" w:name="Xe6a8aced23c3676b4023eecd30527cd9bbe285e"/>
    <w:p>
      <w:pPr>
        <w:pStyle w:val="Heading1"/>
      </w:pPr>
      <w:r>
        <w:t xml:space="preserve">5. Where Gear Becomes a Cloud Service — the FedRAMP ↔ NIAP Crossover</w:t>
      </w:r>
    </w:p>
    <w:p>
      <w:pPr>
        <w:pStyle w:val="FirstParagraph"/>
      </w:pPr>
      <w:r>
        <w:t xml:space="preserve">Two of the functions above have a cloud-delivered form. When the distributed PEP</w:t>
      </w:r>
      <w:r>
        <w:t xml:space="preserve"> </w:t>
      </w:r>
      <w:r>
        <w:t xml:space="preserve">is an on-premises appliance, it passes the NIAP/STIG/FIPS/APL gate. When it is a</w:t>
      </w:r>
      <w:r>
        <w:t xml:space="preserve"> </w:t>
      </w:r>
      <w:r>
        <w:t xml:space="preserve">cloud-delivered SASE service — Cisco Secure Access, Palo Alto Prisma Access — it</w:t>
      </w:r>
      <w:r>
        <w:t xml:space="preserve"> </w:t>
      </w:r>
      <w:r>
        <w:t xml:space="preserve">passes the</w:t>
      </w:r>
      <w:r>
        <w:t xml:space="preserve"> </w:t>
      </w:r>
      <w:r>
        <w:rPr>
          <w:b/>
          <w:bCs/>
        </w:rPr>
        <w:t xml:space="preserve">FedRAMP</w:t>
      </w:r>
      <w:r>
        <w:t xml:space="preserve"> </w:t>
      </w:r>
      <w:r>
        <w:t xml:space="preserve">gate instead, and the boundary documentation treats it as</w:t>
      </w:r>
      <w:r>
        <w:t xml:space="preserve"> </w:t>
      </w:r>
      <w:r>
        <w:t xml:space="preserve">an external service (interconnection agreement, Marketplace verification). The</w:t>
      </w:r>
      <w:r>
        <w:t xml:space="preserve"> </w:t>
      </w:r>
      <w:r>
        <w:t xml:space="preserve">same control (SC-7) is closed by different equipment with different accreditation</w:t>
      </w:r>
      <w:r>
        <w:t xml:space="preserve"> </w:t>
      </w:r>
      <w:r>
        <w:t xml:space="preserve">depending on where the enforcement point physically sits.</w:t>
      </w:r>
    </w:p>
    <w:p>
      <w:pPr>
        <w:pStyle w:val="BodyText"/>
      </w:pPr>
      <w:r>
        <w:t xml:space="preserve">This crossover is the single most common source of federal boundary confusion,</w:t>
      </w:r>
      <w:r>
        <w:t xml:space="preserve"> </w:t>
      </w:r>
      <w:r>
        <w:t xml:space="preserve">and stating it explicitly is the point of Theme F:</w:t>
      </w:r>
      <w:r>
        <w:t xml:space="preserve"> </w:t>
      </w:r>
      <w:r>
        <w:rPr>
          <w:b/>
          <w:bCs/>
        </w:rPr>
        <w:t xml:space="preserve">name the enforcement</w:t>
      </w:r>
      <w:r>
        <w:rPr>
          <w:b/>
          <w:bCs/>
        </w:rPr>
        <w:t xml:space="preserve"> </w:t>
      </w:r>
      <w:r>
        <w:rPr>
          <w:b/>
          <w:bCs/>
        </w:rPr>
        <w:t xml:space="preserve">point’s location, and the accreditation gate follows from it.</w:t>
      </w:r>
      <w:r>
        <w:t xml:space="preserve"> </w:t>
      </w:r>
      <w:r>
        <w:t xml:space="preserve">An agency that</w:t>
      </w:r>
      <w:r>
        <w:t xml:space="preserve"> </w:t>
      </w:r>
      <w:r>
        <w:t xml:space="preserve">mixes on-premises NGFW branches and cloud-SASE remote users will carry</w:t>
      </w:r>
      <w:r>
        <w:t xml:space="preserve"> </w:t>
      </w:r>
      <w:r>
        <w:rPr>
          <w:i/>
          <w:iCs/>
        </w:rPr>
        <w:t xml:space="preserve">both</w:t>
      </w:r>
      <w:r>
        <w:t xml:space="preserve"> </w:t>
      </w:r>
      <w:r>
        <w:t xml:space="preserve">kinds of evidence — NIAP validation reports for the appliances and FedRAMP</w:t>
      </w:r>
      <w:r>
        <w:t xml:space="preserve"> </w:t>
      </w:r>
      <w:r>
        <w:t xml:space="preserve">Marketplace listings for the service — and its authorization package must not</w:t>
      </w:r>
      <w:r>
        <w:t xml:space="preserve"> </w:t>
      </w:r>
      <w:r>
        <w:t xml:space="preserve">conflate them.</w:t>
      </w:r>
    </w:p>
    <w:bookmarkEnd w:id="16"/>
    <w:bookmarkStart w:id="17" w:name="X472195b629f87b9adf6d5a2c429a11a9ba10170"/>
    <w:p>
      <w:pPr>
        <w:pStyle w:val="Heading1"/>
      </w:pPr>
      <w:r>
        <w:t xml:space="preserve">6. Interoperability Seams — Why Multi-Vendor Is the Normal Case</w:t>
      </w:r>
    </w:p>
    <w:p>
      <w:pPr>
        <w:pStyle w:val="FirstParagraph"/>
      </w:pPr>
      <w:r>
        <w:t xml:space="preserve">Federal networks are rarely single-vendor, and the enforcement substrate is</w:t>
      </w:r>
      <w:r>
        <w:t xml:space="preserve"> </w:t>
      </w:r>
      <w:r>
        <w:t xml:space="preserve">designed around open seams rather than a single manufacturer’s fabric:</w:t>
      </w:r>
    </w:p>
    <w:p>
      <w:pPr>
        <w:pStyle w:val="Compact"/>
        <w:numPr>
          <w:ilvl w:val="0"/>
          <w:numId w:val="1002"/>
        </w:numPr>
      </w:pPr>
      <w:r>
        <w:rPr>
          <w:b/>
          <w:bCs/>
        </w:rPr>
        <w:t xml:space="preserve">802.1X</w:t>
      </w:r>
      <w:r>
        <w:t xml:space="preserve"> </w:t>
      </w:r>
      <w:r>
        <w:t xml:space="preserve">separates the</w:t>
      </w:r>
      <w:r>
        <w:t xml:space="preserve"> </w:t>
      </w:r>
      <w:r>
        <w:rPr>
          <w:i/>
          <w:iCs/>
        </w:rPr>
        <w:t xml:space="preserve">authenticator</w:t>
      </w:r>
      <w:r>
        <w:t xml:space="preserve"> </w:t>
      </w:r>
      <w:r>
        <w:t xml:space="preserve">(any vendor’s access switch) from the</w:t>
      </w:r>
      <w:r>
        <w:t xml:space="preserve"> </w:t>
      </w:r>
      <w:r>
        <w:rPr>
          <w:i/>
          <w:iCs/>
        </w:rPr>
        <w:t xml:space="preserve">authentication server</w:t>
      </w:r>
      <w:r>
        <w:t xml:space="preserve"> </w:t>
      </w:r>
      <w:r>
        <w:t xml:space="preserve">(RADIUS — ISE, Mist, or a third-party). A Cisco switch</w:t>
      </w:r>
      <w:r>
        <w:t xml:space="preserve"> </w:t>
      </w:r>
      <w:r>
        <w:t xml:space="preserve">can authenticate against a policy service that also serves Juniper access</w:t>
      </w:r>
      <w:r>
        <w:t xml:space="preserve"> </w:t>
      </w:r>
      <w:r>
        <w:t xml:space="preserve">points; the supplicant, authenticator, and server need not share a vendor.</w:t>
      </w:r>
    </w:p>
    <w:p>
      <w:pPr>
        <w:pStyle w:val="Compact"/>
        <w:numPr>
          <w:ilvl w:val="0"/>
          <w:numId w:val="1002"/>
        </w:numPr>
      </w:pPr>
      <w:r>
        <w:rPr>
          <w:b/>
          <w:bCs/>
        </w:rPr>
        <w:t xml:space="preserve">MACsec (SC-8, hop-by-hop)</w:t>
      </w:r>
      <w:r>
        <w:t xml:space="preserve"> </w:t>
      </w:r>
      <w:r>
        <w:t xml:space="preserve">encrypts link-by-link at Layer 2 between</w:t>
      </w:r>
      <w:r>
        <w:t xml:space="preserve"> </w:t>
      </w:r>
      <w:r>
        <w:t xml:space="preserve">compliant devices and is standardized (IEEE 802.1AE), so a mixed-vendor access</w:t>
      </w:r>
      <w:r>
        <w:t xml:space="preserve"> </w:t>
      </w:r>
      <w:r>
        <w:t xml:space="preserve">layer can still encrypt every hop.</w:t>
      </w:r>
    </w:p>
    <w:p>
      <w:pPr>
        <w:pStyle w:val="Compact"/>
        <w:numPr>
          <w:ilvl w:val="0"/>
          <w:numId w:val="1002"/>
        </w:numPr>
      </w:pPr>
      <w:r>
        <w:rPr>
          <w:b/>
          <w:bCs/>
        </w:rPr>
        <w:t xml:space="preserve">RADIUS / TACACS+</w:t>
      </w:r>
      <w:r>
        <w:t xml:space="preserve"> </w:t>
      </w:r>
      <w:r>
        <w:t xml:space="preserve">carry policy and device-administration authentication</w:t>
      </w:r>
      <w:r>
        <w:t xml:space="preserve"> </w:t>
      </w:r>
      <w:r>
        <w:t xml:space="preserve">across vendors, binding the whole substrate to the identity plane established</w:t>
      </w:r>
      <w:r>
        <w:t xml:space="preserve"> </w:t>
      </w:r>
      <w:r>
        <w:t xml:space="preserve">earlier in the series.</w:t>
      </w:r>
    </w:p>
    <w:p>
      <w:pPr>
        <w:pStyle w:val="FirstParagraph"/>
      </w:pPr>
      <w:r>
        <w:t xml:space="preserve">The seams are why the series speaks of a</w:t>
      </w:r>
      <w:r>
        <w:t xml:space="preserve"> </w:t>
      </w:r>
      <w:r>
        <w:rPr>
          <w:i/>
          <w:iCs/>
        </w:rPr>
        <w:t xml:space="preserve">substrate</w:t>
      </w:r>
      <w:r>
        <w:t xml:space="preserve"> </w:t>
      </w:r>
      <w:r>
        <w:t xml:space="preserve">rather than a</w:t>
      </w:r>
      <w:r>
        <w:t xml:space="preserve"> </w:t>
      </w:r>
      <w:r>
        <w:rPr>
          <w:i/>
          <w:iCs/>
        </w:rPr>
        <w:t xml:space="preserve">platform</w:t>
      </w:r>
      <w:r>
        <w:t xml:space="preserve">:</w:t>
      </w:r>
      <w:r>
        <w:t xml:space="preserve"> </w:t>
      </w:r>
      <w:r>
        <w:t xml:space="preserve">the functions compose across manufacturers precisely because they rest on open</w:t>
      </w:r>
      <w:r>
        <w:t xml:space="preserve"> </w:t>
      </w:r>
      <w:r>
        <w:t xml:space="preserve">protocols, not a proprietary controller.</w:t>
      </w:r>
    </w:p>
    <w:bookmarkEnd w:id="17"/>
    <w:bookmarkStart w:id="18" w:name="Xd104e6fe939078b77a39a36c64c35e372df78c5"/>
    <w:p>
      <w:pPr>
        <w:pStyle w:val="Heading1"/>
      </w:pPr>
      <w:r>
        <w:t xml:space="preserve">7. Closure Necessity — The Edge Controls With No Alternate Path</w:t>
      </w:r>
    </w:p>
    <w:p>
      <w:pPr>
        <w:pStyle w:val="BlockText"/>
      </w:pPr>
      <w:r>
        <w:rPr>
          <w:b/>
          <w:bCs/>
        </w:rPr>
        <w:t xml:space="preserve">Closure Necessity — SC-8 on a bare circuit.</w:t>
      </w:r>
      <w:r>
        <w:t xml:space="preserve"> </w:t>
      </w:r>
      <w:r>
        <w:t xml:space="preserve">There is no configuration</w:t>
      </w:r>
      <w:r>
        <w:t xml:space="preserve"> </w:t>
      </w:r>
      <w:r>
        <w:t xml:space="preserve">setting, scanner finding, or cloud authorization that encrypts a DIA circuit</w:t>
      </w:r>
      <w:r>
        <w:t xml:space="preserve"> </w:t>
      </w:r>
      <w:r>
        <w:t xml:space="preserve">at the network layer. Only an IPsec/MACsec overlay terminated on FIPS 140-3</w:t>
      </w:r>
      <w:r>
        <w:t xml:space="preserve"> </w:t>
      </w:r>
      <w:r>
        <w:t xml:space="preserve">validated customer edge equipment does. Inherit nothing here — the control is</w:t>
      </w:r>
      <w:r>
        <w:t xml:space="preserve"> </w:t>
      </w:r>
      <w:r>
        <w:t xml:space="preserve">closed by gear or it is open.</w:t>
      </w:r>
    </w:p>
    <w:p>
      <w:pPr>
        <w:pStyle w:val="BlockText"/>
      </w:pPr>
      <w:r>
        <w:rPr>
          <w:b/>
          <w:bCs/>
        </w:rPr>
        <w:t xml:space="preserve">Closure Necessity — IA-3 at the port.</w:t>
      </w:r>
      <w:r>
        <w:t xml:space="preserve"> </w:t>
      </w:r>
      <w:r>
        <w:t xml:space="preserve">You cannot inventory or authenticate</w:t>
      </w:r>
      <w:r>
        <w:t xml:space="preserve"> </w:t>
      </w:r>
      <w:r>
        <w:t xml:space="preserve">what you cannot see at Layer 2. Device identity at the physical port is an</w:t>
      </w:r>
      <w:r>
        <w:t xml:space="preserve"> </w:t>
      </w:r>
      <w:r>
        <w:t xml:space="preserve">802.1X authenticator function on customer-owned access gear; the switchport</w:t>
      </w:r>
      <w:r>
        <w:t xml:space="preserve"> </w:t>
      </w:r>
      <w:r>
        <w:t xml:space="preserve">enforcement cannot be relocated to the cloud, even when the NAC policy service</w:t>
      </w:r>
      <w:r>
        <w:t xml:space="preserve"> </w:t>
      </w:r>
      <w:r>
        <w:t xml:space="preserve">that decides the outcome is cloud-hosted (Mist Access Assurance). This is the</w:t>
      </w:r>
      <w:r>
        <w:t xml:space="preserve"> </w:t>
      </w:r>
      <w:r>
        <w:t xml:space="preserve">same necessity the Network Access Control book argues, viewed from the</w:t>
      </w:r>
      <w:r>
        <w:t xml:space="preserve"> </w:t>
      </w:r>
      <w:r>
        <w:t xml:space="preserve">equipment that performs it.</w:t>
      </w:r>
    </w:p>
    <w:bookmarkEnd w:id="18"/>
    <w:bookmarkStart w:id="19" w:name="Xebd9fbc0874ac437cee95afe649484f9b290fc1"/>
    <w:p>
      <w:pPr>
        <w:pStyle w:val="Heading1"/>
      </w:pPr>
      <w:r>
        <w:t xml:space="preserve">8. NIST SP 800-53 Rev 5 Control Closure — Authorities Closed Here</w:t>
      </w:r>
    </w:p>
    <w:p>
      <w:pPr>
        <w:pStyle w:val="FirstParagraph"/>
      </w:pPr>
      <w:r>
        <w:t xml:space="preserve">The table below is</w:t>
      </w:r>
      <w:r>
        <w:t xml:space="preserve"> </w:t>
      </w:r>
      <w:r>
        <w:rPr>
          <w:b/>
          <w:bCs/>
        </w:rPr>
        <w:t xml:space="preserve">generated from the series compliance spine</w:t>
      </w:r>
      <w:r>
        <w:t xml:space="preserve"> </w:t>
      </w:r>
      <w:r>
        <w:t xml:space="preserve">(</w:t>
      </w:r>
      <w:r>
        <w:rPr>
          <w:rStyle w:val="VerbatimChar"/>
        </w:rPr>
        <w:t xml:space="preserve">federal-compliance-compliance-spine.yml</w:t>
      </w:r>
      <w:r>
        <w:t xml:space="preserve">) and regenerated by</w:t>
      </w:r>
      <w:r>
        <w:t xml:space="preserve"> </w:t>
      </w:r>
      <w:r>
        <w:rPr>
          <w:rStyle w:val="VerbatimChar"/>
        </w:rPr>
        <w:t xml:space="preserve">render_authorities_table.py</w:t>
      </w:r>
      <w:r>
        <w:t xml:space="preserve">;</w:t>
      </w:r>
      <w:r>
        <w:t xml:space="preserve"> </w:t>
      </w:r>
      <w:r>
        <w:t xml:space="preserve">it is not hand-maintained. Each row names the closing mechanism as a function,</w:t>
      </w:r>
      <w:r>
        <w:t xml:space="preserve"> </w:t>
      </w:r>
      <w:r>
        <w:t xml:space="preserve">the accreditation gate (all NIAP/STIG/FIPS/APL for this book’s customer-owned</w:t>
      </w:r>
      <w:r>
        <w:t xml:space="preserve"> </w:t>
      </w:r>
      <w:r>
        <w:t xml:space="preserve">gear), the authority drivers, the evidence slot, and whether conformance tooling</w:t>
      </w:r>
      <w:r>
        <w:t xml:space="preserve"> </w:t>
      </w:r>
      <w:r>
        <w:t xml:space="preserve">alone can attest it (uniformly</w:t>
      </w:r>
      <w:r>
        <w:t xml:space="preserve"> </w:t>
      </w:r>
      <w:r>
        <w:rPr>
          <w:b/>
          <w:bCs/>
        </w:rPr>
        <w:t xml:space="preserve">No</w:t>
      </w:r>
      <w:r>
        <w:t xml:space="preserve"> </w:t>
      </w:r>
      <w:r>
        <w:t xml:space="preserve">here — edge-gear evidence is assembled from</w:t>
      </w:r>
      <w:r>
        <w:t xml:space="preserve"> </w:t>
      </w:r>
      <w:r>
        <w:t xml:space="preserve">NIAP/STIG/FIPS/APL sources, not a SCuBA-style tenant scan).</w:t>
      </w:r>
    </w:p>
    <w:p>
      <w:pPr>
        <w:pStyle w:val="TableCaption"/>
      </w:pPr>
      <w:r>
        <w:t xml:space="preserve">Authorities Closed Here — Network Enforcement Substrate (Cisco/Palo Alto/Juniper) († = Closure-Necessity anchor: no alternate closure path)</w:t>
      </w:r>
    </w:p>
    <w:tbl>
      <w:tblPr>
        <w:tblStyle w:val="Table"/>
        <w:tblW w:type="pct" w:w="5000"/>
        <w:tblLayout w:type="fixed"/>
        <w:tblLook w:firstRow="1" w:lastRow="0" w:firstColumn="0" w:lastColumn="0" w:noHBand="0" w:noVBand="0" w:val="0020"/>
        <w:tblCaption w:val="Authorities Closed Here — Network Enforcement Substrate (Cisco/Palo Alto/Juniper)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SC-8 †</w:t>
            </w:r>
          </w:p>
        </w:tc>
        <w:tc>
          <w:tcPr/>
          <w:p>
            <w:pPr>
              <w:pStyle w:val="Compact"/>
            </w:pPr>
            <w:r>
              <w:t xml:space="preserve">Transmission Confidentiality and Integrity</w:t>
            </w:r>
          </w:p>
        </w:tc>
        <w:tc>
          <w:tcPr/>
          <w:p>
            <w:pPr>
              <w:pStyle w:val="Compact"/>
            </w:pPr>
            <w:r>
              <w:t xml:space="preserve">IPsec/MACsec overlay on customer-premises transport (function: network-layer encryption)</w:t>
            </w:r>
          </w:p>
        </w:tc>
        <w:tc>
          <w:tcPr/>
          <w:p>
            <w:pPr>
              <w:pStyle w:val="Compact"/>
            </w:pPr>
            <w:r>
              <w:t xml:space="preserve">NIAP CC + DISA STIG + FIPS 140-3 + DoDIN APL</w:t>
            </w:r>
          </w:p>
        </w:tc>
        <w:tc>
          <w:tcPr/>
          <w:p>
            <w:pPr>
              <w:pStyle w:val="Compact"/>
            </w:pPr>
            <w:r>
              <w:t xml:space="preserve">NIST SP 800-53 Rev 5; EO 14028</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SC-8(1)</w:t>
            </w:r>
          </w:p>
        </w:tc>
        <w:tc>
          <w:tcPr/>
          <w:p>
            <w:pPr>
              <w:pStyle w:val="Compact"/>
            </w:pPr>
            <w:r>
              <w:t xml:space="preserve">Cryptographic Protection</w:t>
            </w:r>
          </w:p>
        </w:tc>
        <w:tc>
          <w:tcPr/>
          <w:p>
            <w:pPr>
              <w:pStyle w:val="Compact"/>
            </w:pPr>
            <w:r>
              <w:t xml:space="preserve">FIPS 140-3 validated cipher suite on the overlay</w:t>
            </w:r>
          </w:p>
        </w:tc>
        <w:tc>
          <w:tcPr/>
          <w:p>
            <w:pPr>
              <w:pStyle w:val="Compact"/>
            </w:pPr>
            <w:r>
              <w:t xml:space="preserve">NIAP CC + DISA STIG + FIPS 140-3 + DoDIN APL</w:t>
            </w:r>
          </w:p>
        </w:tc>
        <w:tc>
          <w:tcPr/>
          <w:p>
            <w:pPr>
              <w:pStyle w:val="Compact"/>
            </w:pPr>
            <w:r>
              <w:t xml:space="preserve">NIST SP 800-53 Rev 5</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AC-19</w:t>
            </w:r>
          </w:p>
        </w:tc>
        <w:tc>
          <w:tcPr/>
          <w:p>
            <w:pPr>
              <w:pStyle w:val="Compact"/>
            </w:pPr>
            <w:r>
              <w:t xml:space="preserve">Access Control for Mobile Devices</w:t>
            </w:r>
          </w:p>
        </w:tc>
        <w:tc>
          <w:tcPr/>
          <w:p>
            <w:pPr>
              <w:pStyle w:val="Compact"/>
            </w:pPr>
            <w:r>
              <w:t xml:space="preserve">NAC posture gating at the access layer</w:t>
            </w:r>
          </w:p>
        </w:tc>
        <w:tc>
          <w:tcPr/>
          <w:p>
            <w:pPr>
              <w:pStyle w:val="Compact"/>
            </w:pPr>
            <w:r>
              <w:t xml:space="preserve">NIAP CC + DISA STIG + FIPS 140-3 + DoDIN APL</w:t>
            </w:r>
          </w:p>
        </w:tc>
        <w:tc>
          <w:tcPr/>
          <w:p>
            <w:pPr>
              <w:pStyle w:val="Compact"/>
            </w:pPr>
            <w:r>
              <w:t xml:space="preserve">NIST SP 800-53 Rev 5; OMB M-22-09</w:t>
            </w:r>
          </w:p>
        </w:tc>
        <w:tc>
          <w:tcPr/>
          <w:p>
            <w:pPr>
              <w:pStyle w:val="Compact"/>
            </w:pPr>
            <w:r>
              <w:t xml:space="preserve">Endpoint</w:t>
            </w:r>
          </w:p>
        </w:tc>
        <w:tc>
          <w:tcPr/>
          <w:p>
            <w:pPr>
              <w:pStyle w:val="Compact"/>
            </w:pPr>
            <w:r>
              <w:t xml:space="preserve">KSI-IAM</w:t>
            </w:r>
          </w:p>
        </w:tc>
        <w:tc>
          <w:tcPr/>
          <w:p>
            <w:pPr>
              <w:pStyle w:val="Compact"/>
            </w:pPr>
            <w:r>
              <w:t xml:space="preserve">No</w:t>
            </w:r>
          </w:p>
        </w:tc>
      </w:tr>
      <w:tr>
        <w:tc>
          <w:tcPr/>
          <w:p>
            <w:pPr>
              <w:pStyle w:val="Compact"/>
            </w:pPr>
            <w:r>
              <w:t xml:space="preserve">IA-3 †</w:t>
            </w:r>
          </w:p>
        </w:tc>
        <w:tc>
          <w:tcPr/>
          <w:p>
            <w:pPr>
              <w:pStyle w:val="Compact"/>
            </w:pPr>
            <w:r>
              <w:t xml:space="preserve">Device Identification and Authentication</w:t>
            </w:r>
          </w:p>
        </w:tc>
        <w:tc>
          <w:tcPr/>
          <w:p>
            <w:pPr>
              <w:pStyle w:val="Compact"/>
            </w:pPr>
            <w:r>
              <w:t xml:space="preserve">802.1X authenticator + NAC at the port (function: device identity at the edge)</w:t>
            </w:r>
          </w:p>
        </w:tc>
        <w:tc>
          <w:tcPr/>
          <w:p>
            <w:pPr>
              <w:pStyle w:val="Compact"/>
            </w:pPr>
            <w:r>
              <w:t xml:space="preserve">NIAP CC + DISA STIG + FIPS 140-3 + DoDIN APL</w:t>
            </w:r>
          </w:p>
        </w:tc>
        <w:tc>
          <w:tcPr/>
          <w:p>
            <w:pPr>
              <w:pStyle w:val="Compact"/>
            </w:pPr>
            <w:r>
              <w:t xml:space="preserve">NIST SP 800-53 Rev 5; NIST SP 800-207; CISA ZTMM v2.0</w:t>
            </w:r>
          </w:p>
        </w:tc>
        <w:tc>
          <w:tcPr/>
          <w:p>
            <w:pPr>
              <w:pStyle w:val="Compact"/>
            </w:pPr>
            <w:r>
              <w:t xml:space="preserve">Network</w:t>
            </w:r>
          </w:p>
        </w:tc>
        <w:tc>
          <w:tcPr/>
          <w:p>
            <w:pPr>
              <w:pStyle w:val="Compact"/>
            </w:pPr>
            <w:r>
              <w:t xml:space="preserve">KSI-IAM</w:t>
            </w:r>
          </w:p>
        </w:tc>
        <w:tc>
          <w:tcPr/>
          <w:p>
            <w:pPr>
              <w:pStyle w:val="Compact"/>
            </w:pPr>
            <w:r>
              <w:t xml:space="preserve">No</w:t>
            </w:r>
          </w:p>
        </w:tc>
      </w:tr>
      <w:tr>
        <w:tc>
          <w:tcPr/>
          <w:p>
            <w:pPr>
              <w:pStyle w:val="Compact"/>
            </w:pPr>
            <w:r>
              <w:t xml:space="preserve">AC-17</w:t>
            </w:r>
          </w:p>
        </w:tc>
        <w:tc>
          <w:tcPr/>
          <w:p>
            <w:pPr>
              <w:pStyle w:val="Compact"/>
            </w:pPr>
            <w:r>
              <w:t xml:space="preserve">Remote Access</w:t>
            </w:r>
          </w:p>
        </w:tc>
        <w:tc>
          <w:tcPr/>
          <w:p>
            <w:pPr>
              <w:pStyle w:val="Compact"/>
            </w:pPr>
            <w:r>
              <w:t xml:space="preserve">Vendor ZTNA/remote-access gateway (function: per-session remote access)</w:t>
            </w:r>
          </w:p>
        </w:tc>
        <w:tc>
          <w:tcPr/>
          <w:p>
            <w:pPr>
              <w:pStyle w:val="Compact"/>
            </w:pPr>
            <w:r>
              <w:t xml:space="preserve">NIAP CC + DISA STIG + FIPS 140-3 + DoDIN APL</w:t>
            </w:r>
          </w:p>
        </w:tc>
        <w:tc>
          <w:tcPr/>
          <w:p>
            <w:pPr>
              <w:pStyle w:val="Compact"/>
            </w:pPr>
            <w:r>
              <w:t xml:space="preserve">NIST SP 800-53 Rev 5; OMB M-22-09; CISA ZTMM v2.0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AC-4</w:t>
            </w:r>
          </w:p>
        </w:tc>
        <w:tc>
          <w:tcPr/>
          <w:p>
            <w:pPr>
              <w:pStyle w:val="Compact"/>
            </w:pPr>
            <w:r>
              <w:t xml:space="preserve">Information Flow Enforcement</w:t>
            </w:r>
          </w:p>
        </w:tc>
        <w:tc>
          <w:tcPr/>
          <w:p>
            <w:pPr>
              <w:pStyle w:val="Compact"/>
            </w:pPr>
            <w:r>
              <w:t xml:space="preserve">Application-aware flow policy at the NGFW/SASE PEP</w:t>
            </w:r>
          </w:p>
        </w:tc>
        <w:tc>
          <w:tcPr/>
          <w:p>
            <w:pPr>
              <w:pStyle w:val="Compact"/>
            </w:pPr>
            <w:r>
              <w:t xml:space="preserve">NIAP CC + DISA STIG + FIPS 140-3 + DoDIN APL</w:t>
            </w:r>
          </w:p>
        </w:tc>
        <w:tc>
          <w:tcPr/>
          <w:p>
            <w:pPr>
              <w:pStyle w:val="Compact"/>
            </w:pPr>
            <w:r>
              <w:t xml:space="preserve">NIST SP 800-53 Rev 5; NIST SP 800-207; CISA TIC 3.0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SC-7</w:t>
            </w:r>
          </w:p>
        </w:tc>
        <w:tc>
          <w:tcPr/>
          <w:p>
            <w:pPr>
              <w:pStyle w:val="Compact"/>
            </w:pPr>
            <w:r>
              <w:t xml:space="preserve">Boundary Protection</w:t>
            </w:r>
          </w:p>
        </w:tc>
        <w:tc>
          <w:tcPr/>
          <w:p>
            <w:pPr>
              <w:pStyle w:val="Compact"/>
            </w:pPr>
            <w:r>
              <w:t xml:space="preserve">NGFW boundary enforcement at the customer-owned edge (function: distributed policy enforcement point)</w:t>
            </w:r>
          </w:p>
        </w:tc>
        <w:tc>
          <w:tcPr/>
          <w:p>
            <w:pPr>
              <w:pStyle w:val="Compact"/>
            </w:pPr>
            <w:r>
              <w:t xml:space="preserve">NIAP CC + DISA STIG + FIPS 140-3 + DoDIN APL</w:t>
            </w:r>
          </w:p>
        </w:tc>
        <w:tc>
          <w:tcPr/>
          <w:p>
            <w:pPr>
              <w:pStyle w:val="Compact"/>
            </w:pPr>
            <w:r>
              <w:t xml:space="preserve">NIST SP 800-53 Rev 5; CISA TIC 3.0; NIST SP 800-207</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SC-7(8)</w:t>
            </w:r>
          </w:p>
        </w:tc>
        <w:tc>
          <w:tcPr/>
          <w:p>
            <w:pPr>
              <w:pStyle w:val="Compact"/>
            </w:pPr>
            <w:r>
              <w:t xml:space="preserve">Route Traffic to Authenticated Proxy Servers</w:t>
            </w:r>
          </w:p>
        </w:tc>
        <w:tc>
          <w:tcPr/>
          <w:p>
            <w:pPr>
              <w:pStyle w:val="Compact"/>
            </w:pPr>
            <w:r>
              <w:t xml:space="preserve">Forced-proxy egress through the SASE/SWG enforcement point</w:t>
            </w:r>
          </w:p>
        </w:tc>
        <w:tc>
          <w:tcPr/>
          <w:p>
            <w:pPr>
              <w:pStyle w:val="Compact"/>
            </w:pPr>
            <w:r>
              <w:t xml:space="preserve">NIAP CC + DISA STIG + FIPS 140-3 + DoDIN APL</w:t>
            </w:r>
          </w:p>
        </w:tc>
        <w:tc>
          <w:tcPr/>
          <w:p>
            <w:pPr>
              <w:pStyle w:val="Compact"/>
            </w:pPr>
            <w:r>
              <w:t xml:space="preserve">NIST SP 800-53 Rev 5; CISA TIC 3.0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SI-4</w:t>
            </w:r>
          </w:p>
        </w:tc>
        <w:tc>
          <w:tcPr/>
          <w:p>
            <w:pPr>
              <w:pStyle w:val="Compact"/>
            </w:pPr>
            <w:r>
              <w:t xml:space="preserve">System Monitoring</w:t>
            </w:r>
          </w:p>
        </w:tc>
        <w:tc>
          <w:tcPr/>
          <w:p>
            <w:pPr>
              <w:pStyle w:val="Compact"/>
            </w:pPr>
            <w:r>
              <w:t xml:space="preserve">Network detection/telemetry export from the enforcement substrate to the evidence contract</w:t>
            </w:r>
          </w:p>
        </w:tc>
        <w:tc>
          <w:tcPr/>
          <w:p>
            <w:pPr>
              <w:pStyle w:val="Compact"/>
            </w:pPr>
            <w:r>
              <w:t xml:space="preserve">NIAP CC + DISA STIG + FIPS 140-3 + DoDIN APL</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19"/>
    <w:bookmarkStart w:id="21" w:name="fedramp-20x-ksi-alignment"/>
    <w:p>
      <w:pPr>
        <w:pStyle w:val="Heading1"/>
      </w:pPr>
      <w:r>
        <w:t xml:space="preserve">9. FedRAMP 20x KSI Alignment</w:t>
      </w:r>
    </w:p>
    <w:p>
      <w:pPr>
        <w:pStyle w:val="FirstParagraph"/>
      </w:pPr>
      <w:r>
        <w:t xml:space="preserve">The edge substrate feeds two KSI themes.</w:t>
      </w:r>
      <w:r>
        <w:t xml:space="preserve"> </w:t>
      </w:r>
      <w:r>
        <w:rPr>
          <w:b/>
          <w:bCs/>
        </w:rPr>
        <w:t xml:space="preserve">KSI-CNA</w:t>
      </w:r>
      <w:r>
        <w:t xml:space="preserve"> </w:t>
      </w:r>
      <w:r>
        <w:t xml:space="preserve">(Cloud Native</w:t>
      </w:r>
      <w:r>
        <w:t xml:space="preserve"> </w:t>
      </w:r>
      <w:r>
        <w:t xml:space="preserve">Architecture / network segmentation and boundary) draws its edge evidence from</w:t>
      </w:r>
      <w:r>
        <w:t xml:space="preserve"> </w:t>
      </w:r>
      <w:r>
        <w:t xml:space="preserve">the boundary, overlay, and flow-enforcement controls above — the on-premises</w:t>
      </w:r>
      <w:r>
        <w:t xml:space="preserve"> </w:t>
      </w:r>
      <w:r>
        <w:t xml:space="preserve">half of the same theme the cloud SASE service serves.</w:t>
      </w:r>
      <w:r>
        <w:t xml:space="preserve"> </w:t>
      </w:r>
      <w:r>
        <w:rPr>
          <w:b/>
          <w:bCs/>
        </w:rPr>
        <w:t xml:space="preserve">KSI-IAM</w:t>
      </w:r>
      <w:r>
        <w:t xml:space="preserve"> </w:t>
      </w:r>
      <w:r>
        <w:t xml:space="preserve">gains its</w:t>
      </w:r>
      <w:r>
        <w:t xml:space="preserve"> </w:t>
      </w:r>
      <w:r>
        <w:t xml:space="preserve">device-identity evidence (IA-3) from the NAC substrate, complementing the user-</w:t>
      </w:r>
      <w:r>
        <w:t xml:space="preserve"> </w:t>
      </w:r>
      <w:r>
        <w:t xml:space="preserve">and workload-identity evidence the identity books provide.</w:t>
      </w:r>
      <w:r>
        <w:t xml:space="preserve"> </w:t>
      </w:r>
      <w:r>
        <w:rPr>
          <w:b/>
          <w:bCs/>
        </w:rPr>
        <w:t xml:space="preserve">KSI-MLA</w:t>
      </w:r>
      <w:r>
        <w:t xml:space="preserve"> </w:t>
      </w:r>
      <w:r>
        <w:t xml:space="preserve">receives</w:t>
      </w:r>
      <w:r>
        <w:t xml:space="preserve"> </w:t>
      </w:r>
      <w:r>
        <w:t xml:space="preserve">the SI-4 network telemetry export. In every case the KSI is attested from the</w:t>
      </w:r>
      <w:r>
        <w:t xml:space="preserve"> </w:t>
      </w:r>
      <w:r>
        <w:t xml:space="preserve">gear’s own accreditation and telemetry, not from a tenant-configuration scan —</w:t>
      </w:r>
      <w:r>
        <w:t xml:space="preserve"> </w:t>
      </w:r>
      <w:r>
        <w:t xml:space="preserve">which is why the</w:t>
      </w:r>
      <w:r>
        <w:t xml:space="preserve"> </w:t>
      </w:r>
      <w:r>
        <w:rPr>
          <w:i/>
          <w:iCs/>
        </w:rPr>
        <w:t xml:space="preserve">Tool-attestable?</w:t>
      </w:r>
      <w:r>
        <w:t xml:space="preserve"> </w:t>
      </w:r>
      <w:r>
        <w:t xml:space="preserve">column is uniformly</w:t>
      </w:r>
      <w:r>
        <w:t xml:space="preserve"> </w:t>
      </w:r>
      <w:r>
        <w:rPr>
          <w:b/>
          <w:bCs/>
        </w:rPr>
        <w:t xml:space="preserve">No</w:t>
      </w:r>
      <w:r>
        <w:t xml:space="preserve"> </w:t>
      </w:r>
      <w:r>
        <w:t xml:space="preserve">and the evidence</w:t>
      </w:r>
      <w:r>
        <w:t xml:space="preserve"> </w:t>
      </w:r>
      <w:r>
        <w:t xml:space="preserve">routes through the unified compliance contract described in the coordination</w:t>
      </w:r>
      <w:r>
        <w:t xml:space="preserve"> </w:t>
      </w:r>
      <w:r>
        <w:t xml:space="preserve">doctrine (Executive Summary).</w:t>
      </w:r>
    </w:p>
    <w:bookmarkStart w:id="20" w:name="vendor-selection-status"/>
    <w:p>
      <w:pPr>
        <w:pStyle w:val="Heading2"/>
      </w:pPr>
      <w:r>
        <w:t xml:space="preserve">9.1 Vendor Selection Status</w:t>
      </w:r>
    </w:p>
    <w:p>
      <w:pPr>
        <w:pStyle w:val="FirstParagraph"/>
      </w:pPr>
      <w:r>
        <w:t xml:space="preserve">Network-equipment manufacturer selections are pending agency procurement review.</w:t>
      </w:r>
      <w:r>
        <w:t xml:space="preserve"> </w:t>
      </w:r>
      <w:r>
        <w:t xml:space="preserve">The three manufacturers mapped here (Cisco, Palo Alto Networks, Juniper Networks)</w:t>
      </w:r>
      <w:r>
        <w:t xml:space="preserve"> </w:t>
      </w:r>
      <w:r>
        <w:t xml:space="preserve">reflect federal fielding prevalence and Protection-Profile coverage at time of</w:t>
      </w:r>
      <w:r>
        <w:t xml:space="preserve"> </w:t>
      </w:r>
      <w:r>
        <w:t xml:space="preserve">writing; other NIAP-evaluated, DoDIN APL-listed manufacturers (e.g., Fortinet,</w:t>
      </w:r>
      <w:r>
        <w:t xml:space="preserve"> </w:t>
      </w:r>
      <w:r>
        <w:t xml:space="preserve">Arista) satisfy the same mechanism classes. Final selection requires validation</w:t>
      </w:r>
      <w:r>
        <w:t xml:space="preserve"> </w:t>
      </w:r>
      <w:r>
        <w:t xml:space="preserve">against the current NIAP Product Compliant List, the NIST CMVP validated-modules</w:t>
      </w:r>
      <w:r>
        <w:t xml:space="preserve"> </w:t>
      </w:r>
      <w:r>
        <w:t xml:space="preserve">list, the applicable DISA STIG, and the DoDIN APL, plus agency-specific</w:t>
      </w:r>
      <w:r>
        <w:t xml:space="preserve"> </w:t>
      </w:r>
      <w:r>
        <w:t xml:space="preserve">environment testing and procurement authority.</w:t>
      </w:r>
    </w:p>
    <w:bookmarkEnd w:id="20"/>
    <w:bookmarkEnd w:id="21"/>
    <w:bookmarkStart w:id="35" w:name="references"/>
    <w:p>
      <w:pPr>
        <w:pStyle w:val="Heading1"/>
      </w:pPr>
      <w:r>
        <w:t xml:space="preserve">10. References</w:t>
      </w:r>
    </w:p>
    <w:p>
      <w:pPr>
        <w:pStyle w:val="TableCaption"/>
      </w:pPr>
      <w:r>
        <w:t xml:space="preserve">Reference Documents and Vendor Sources</w:t>
      </w:r>
    </w:p>
    <w:tbl>
      <w:tblPr>
        <w:tblStyle w:val="Table"/>
        <w:tblW w:type="pct" w:w="5000"/>
        <w:tblLayout w:type="fixed"/>
        <w:tblLook w:firstRow="1" w:lastRow="0" w:firstColumn="0" w:lastColumn="0" w:noHBand="0" w:noVBand="0" w:val="0020"/>
        <w:tblCaption w:val="Reference Documents and Vendor Sources"/>
      </w:tblPr>
      <w:tblGrid>
        <w:gridCol w:w="3960"/>
        <w:gridCol w:w="3960"/>
      </w:tblGrid>
      <w:tr>
        <w:trPr>
          <w:tblHeader w:val="on"/>
        </w:trPr>
        <w:tc>
          <w:tcPr/>
          <w:p>
            <w:pPr>
              <w:pStyle w:val="Compact"/>
            </w:pPr>
            <w:r>
              <w:t xml:space="preserve">Reference</w:t>
            </w:r>
          </w:p>
        </w:tc>
        <w:tc>
          <w:tcPr/>
          <w:p>
            <w:pPr>
              <w:pStyle w:val="Compact"/>
            </w:pPr>
            <w:r>
              <w:t xml:space="preserve">Description</w:t>
            </w:r>
          </w:p>
        </w:tc>
      </w:tr>
      <w:tr>
        <w:tc>
          <w:tcPr/>
          <w:p>
            <w:pPr>
              <w:pStyle w:val="Compact"/>
            </w:pPr>
            <w:r>
              <w:t xml:space="preserve">NIST SP 800-53 Rev 5</w:t>
            </w:r>
          </w:p>
        </w:tc>
        <w:tc>
          <w:tcPr/>
          <w:p>
            <w:pPr>
              <w:pStyle w:val="Compact"/>
            </w:pPr>
            <w:r>
              <w:t xml:space="preserve">Security and Privacy Controls — SC-7, SC-8, AC-4, IA-3, AC-17, SI-4</w:t>
            </w:r>
          </w:p>
        </w:tc>
      </w:tr>
      <w:tr>
        <w:tc>
          <w:tcPr/>
          <w:p>
            <w:pPr>
              <w:pStyle w:val="Compact"/>
            </w:pPr>
            <w:r>
              <w:t xml:space="preserve">NIST SP 800-207</w:t>
            </w:r>
          </w:p>
        </w:tc>
        <w:tc>
          <w:tcPr/>
          <w:p>
            <w:pPr>
              <w:pStyle w:val="Compact"/>
            </w:pPr>
            <w:r>
              <w:t xml:space="preserve">Zero Trust Architecture</w:t>
            </w:r>
          </w:p>
        </w:tc>
      </w:tr>
      <w:tr>
        <w:tc>
          <w:tcPr/>
          <w:p>
            <w:pPr>
              <w:pStyle w:val="Compact"/>
            </w:pPr>
            <w:r>
              <w:t xml:space="preserve">CISA TIC 3.0</w:t>
            </w:r>
          </w:p>
        </w:tc>
        <w:tc>
          <w:tcPr/>
          <w:p>
            <w:pPr>
              <w:pStyle w:val="Compact"/>
            </w:pPr>
            <w:r>
              <w:t xml:space="preserve">Trusted Internet Connections — distributed enforcement / DIA permissibility</w:t>
            </w:r>
          </w:p>
        </w:tc>
      </w:tr>
      <w:tr>
        <w:tc>
          <w:tcPr/>
          <w:p>
            <w:pPr>
              <w:pStyle w:val="Compact"/>
            </w:pPr>
            <w:r>
              <w:t xml:space="preserve">NIAP Product Compliant List</w:t>
            </w:r>
          </w:p>
        </w:tc>
        <w:tc>
          <w:tcPr/>
          <w:p>
            <w:pPr>
              <w:pStyle w:val="Compact"/>
            </w:pPr>
            <w:r>
              <w:t xml:space="preserve">Common Criteria evaluated products —</w:t>
            </w:r>
            <w:r>
              <w:t xml:space="preserve"> </w:t>
            </w:r>
            <w:hyperlink r:id="rId22">
              <w:r>
                <w:rPr>
                  <w:rStyle w:val="Hyperlink"/>
                </w:rPr>
                <w:t xml:space="preserve">https://www.niap-ccevs.org/Product/</w:t>
              </w:r>
            </w:hyperlink>
          </w:p>
        </w:tc>
      </w:tr>
      <w:tr>
        <w:tc>
          <w:tcPr/>
          <w:p>
            <w:pPr>
              <w:pStyle w:val="Compact"/>
            </w:pPr>
            <w:r>
              <w:t xml:space="preserve">NIST CMVP (FIPS 140-3)</w:t>
            </w:r>
          </w:p>
        </w:tc>
        <w:tc>
          <w:tcPr/>
          <w:p>
            <w:pPr>
              <w:pStyle w:val="Compact"/>
            </w:pPr>
            <w:r>
              <w:t xml:space="preserve">Cryptographic Module Validation Program —</w:t>
            </w:r>
            <w:r>
              <w:t xml:space="preserve"> </w:t>
            </w:r>
            <w:hyperlink r:id="rId23">
              <w:r>
                <w:rPr>
                  <w:rStyle w:val="Hyperlink"/>
                </w:rPr>
                <w:t xml:space="preserve">https://csrc.nist.gov/projects/cryptographic-module-validation-program/validated-modules</w:t>
              </w:r>
            </w:hyperlink>
          </w:p>
        </w:tc>
      </w:tr>
      <w:tr>
        <w:tc>
          <w:tcPr/>
          <w:p>
            <w:pPr>
              <w:pStyle w:val="Compact"/>
            </w:pPr>
            <w:r>
              <w:t xml:space="preserve">DISA STIGs</w:t>
            </w:r>
          </w:p>
        </w:tc>
        <w:tc>
          <w:tcPr/>
          <w:p>
            <w:pPr>
              <w:pStyle w:val="Compact"/>
            </w:pPr>
            <w:r>
              <w:t xml:space="preserve">Security Technical Implementation Guides —</w:t>
            </w:r>
            <w:r>
              <w:t xml:space="preserve"> </w:t>
            </w:r>
            <w:hyperlink r:id="rId24">
              <w:r>
                <w:rPr>
                  <w:rStyle w:val="Hyperlink"/>
                </w:rPr>
                <w:t xml:space="preserve">https://public.cyber.mil/stigs/</w:t>
              </w:r>
            </w:hyperlink>
          </w:p>
        </w:tc>
      </w:tr>
      <w:tr>
        <w:tc>
          <w:tcPr/>
          <w:p>
            <w:pPr>
              <w:pStyle w:val="Compact"/>
            </w:pPr>
            <w:r>
              <w:t xml:space="preserve">DoDIN APL</w:t>
            </w:r>
          </w:p>
        </w:tc>
        <w:tc>
          <w:tcPr/>
          <w:p>
            <w:pPr>
              <w:pStyle w:val="Compact"/>
            </w:pPr>
            <w:r>
              <w:t xml:space="preserve">DoD Information Network Approved Products List —</w:t>
            </w:r>
            <w:r>
              <w:t xml:space="preserve"> </w:t>
            </w:r>
            <w:hyperlink r:id="rId25">
              <w:r>
                <w:rPr>
                  <w:rStyle w:val="Hyperlink"/>
                </w:rPr>
                <w:t xml:space="preserve">https://aplits.disa.mil/</w:t>
              </w:r>
            </w:hyperlink>
          </w:p>
        </w:tc>
      </w:tr>
      <w:tr>
        <w:tc>
          <w:tcPr/>
          <w:p>
            <w:pPr>
              <w:pStyle w:val="Compact"/>
            </w:pPr>
            <w:r>
              <w:t xml:space="preserve">FedRAMP Marketplace</w:t>
            </w:r>
          </w:p>
        </w:tc>
        <w:tc>
          <w:tcPr/>
          <w:p>
            <w:pPr>
              <w:pStyle w:val="Compact"/>
            </w:pPr>
            <w:r>
              <w:t xml:space="preserve">Cloud service authorization verification —</w:t>
            </w:r>
            <w:r>
              <w:t xml:space="preserve"> </w:t>
            </w:r>
            <w:hyperlink r:id="rId26">
              <w:r>
                <w:rPr>
                  <w:rStyle w:val="Hyperlink"/>
                </w:rPr>
                <w:t xml:space="preserve">https://marketplace.fedramp.gov/</w:t>
              </w:r>
            </w:hyperlink>
          </w:p>
        </w:tc>
      </w:tr>
      <w:tr>
        <w:tc>
          <w:tcPr/>
          <w:p>
            <w:pPr>
              <w:pStyle w:val="Compact"/>
            </w:pPr>
            <w:r>
              <w:t xml:space="preserve">Cisco Identity Services Engine (ISE)</w:t>
            </w:r>
          </w:p>
        </w:tc>
        <w:tc>
          <w:tcPr/>
          <w:p>
            <w:pPr>
              <w:pStyle w:val="Compact"/>
            </w:pPr>
            <w:r>
              <w:t xml:space="preserve">802.1X / NAC / TrustSec —</w:t>
            </w:r>
            <w:r>
              <w:t xml:space="preserve"> </w:t>
            </w:r>
            <w:hyperlink r:id="rId27">
              <w:r>
                <w:rPr>
                  <w:rStyle w:val="Hyperlink"/>
                </w:rPr>
                <w:t xml:space="preserve">https://www.cisco.com/site/us/en/products/security/identity-services-engine/index.html</w:t>
              </w:r>
            </w:hyperlink>
          </w:p>
        </w:tc>
      </w:tr>
      <w:tr>
        <w:tc>
          <w:tcPr/>
          <w:p>
            <w:pPr>
              <w:pStyle w:val="Compact"/>
            </w:pPr>
            <w:r>
              <w:t xml:space="preserve">Cisco Secure Firewall</w:t>
            </w:r>
          </w:p>
        </w:tc>
        <w:tc>
          <w:tcPr/>
          <w:p>
            <w:pPr>
              <w:pStyle w:val="Compact"/>
            </w:pPr>
            <w:r>
              <w:t xml:space="preserve">NGFW boundary protection —</w:t>
            </w:r>
            <w:r>
              <w:t xml:space="preserve"> </w:t>
            </w:r>
            <w:hyperlink r:id="rId28">
              <w:r>
                <w:rPr>
                  <w:rStyle w:val="Hyperlink"/>
                </w:rPr>
                <w:t xml:space="preserve">https://www.cisco.com/site/us/en/products/security/firewalls/index.html</w:t>
              </w:r>
            </w:hyperlink>
          </w:p>
        </w:tc>
      </w:tr>
      <w:tr>
        <w:tc>
          <w:tcPr/>
          <w:p>
            <w:pPr>
              <w:pStyle w:val="Compact"/>
            </w:pPr>
            <w:r>
              <w:t xml:space="preserve">Cisco Catalyst SD-WAN</w:t>
            </w:r>
          </w:p>
        </w:tc>
        <w:tc>
          <w:tcPr/>
          <w:p>
            <w:pPr>
              <w:pStyle w:val="Compact"/>
            </w:pPr>
            <w:r>
              <w:t xml:space="preserve">Encrypted overlay (Viptela) —</w:t>
            </w:r>
            <w:r>
              <w:t xml:space="preserve"> </w:t>
            </w:r>
            <w:hyperlink r:id="rId29">
              <w:r>
                <w:rPr>
                  <w:rStyle w:val="Hyperlink"/>
                </w:rPr>
                <w:t xml:space="preserve">https://www.cisco.com/site/us/en/solutions/networking/sdwan/index.html</w:t>
              </w:r>
            </w:hyperlink>
          </w:p>
        </w:tc>
      </w:tr>
      <w:tr>
        <w:tc>
          <w:tcPr/>
          <w:p>
            <w:pPr>
              <w:pStyle w:val="Compact"/>
            </w:pPr>
            <w:r>
              <w:t xml:space="preserve">Palo Alto Networks NGFW / PAN-OS</w:t>
            </w:r>
          </w:p>
        </w:tc>
        <w:tc>
          <w:tcPr/>
          <w:p>
            <w:pPr>
              <w:pStyle w:val="Compact"/>
            </w:pPr>
            <w:r>
              <w:t xml:space="preserve">Boundary protection, App-ID flow enforcement —</w:t>
            </w:r>
            <w:r>
              <w:t xml:space="preserve"> </w:t>
            </w:r>
            <w:hyperlink r:id="rId30">
              <w:r>
                <w:rPr>
                  <w:rStyle w:val="Hyperlink"/>
                </w:rPr>
                <w:t xml:space="preserve">https://www.paloaltonetworks.com/network-security/next-generation-firewall</w:t>
              </w:r>
            </w:hyperlink>
          </w:p>
        </w:tc>
      </w:tr>
      <w:tr>
        <w:tc>
          <w:tcPr/>
          <w:p>
            <w:pPr>
              <w:pStyle w:val="Compact"/>
            </w:pPr>
            <w:r>
              <w:t xml:space="preserve">Palo Alto Networks Prisma Access</w:t>
            </w:r>
          </w:p>
        </w:tc>
        <w:tc>
          <w:tcPr/>
          <w:p>
            <w:pPr>
              <w:pStyle w:val="Compact"/>
            </w:pPr>
            <w:r>
              <w:t xml:space="preserve">Cloud-delivered SASE PEP (FedRAMP-gated) —</w:t>
            </w:r>
            <w:r>
              <w:t xml:space="preserve"> </w:t>
            </w:r>
            <w:hyperlink r:id="rId31">
              <w:r>
                <w:rPr>
                  <w:rStyle w:val="Hyperlink"/>
                </w:rPr>
                <w:t xml:space="preserve">https://www.paloaltonetworks.com/sase/access</w:t>
              </w:r>
            </w:hyperlink>
          </w:p>
        </w:tc>
      </w:tr>
      <w:tr>
        <w:tc>
          <w:tcPr/>
          <w:p>
            <w:pPr>
              <w:pStyle w:val="Compact"/>
            </w:pPr>
            <w:r>
              <w:t xml:space="preserve">Juniper SRX Series</w:t>
            </w:r>
          </w:p>
        </w:tc>
        <w:tc>
          <w:tcPr/>
          <w:p>
            <w:pPr>
              <w:pStyle w:val="Compact"/>
            </w:pPr>
            <w:r>
              <w:t xml:space="preserve">NGFW / Junos boundary protection —</w:t>
            </w:r>
            <w:r>
              <w:t xml:space="preserve"> </w:t>
            </w:r>
            <w:hyperlink r:id="rId32">
              <w:r>
                <w:rPr>
                  <w:rStyle w:val="Hyperlink"/>
                </w:rPr>
                <w:t xml:space="preserve">https://www.juniper.net/us/en/products/security/srx-series.html</w:t>
              </w:r>
            </w:hyperlink>
          </w:p>
        </w:tc>
      </w:tr>
      <w:tr>
        <w:tc>
          <w:tcPr/>
          <w:p>
            <w:pPr>
              <w:pStyle w:val="Compact"/>
            </w:pPr>
            <w:r>
              <w:t xml:space="preserve">Juniper Mist Access Assurance</w:t>
            </w:r>
          </w:p>
        </w:tc>
        <w:tc>
          <w:tcPr/>
          <w:p>
            <w:pPr>
              <w:pStyle w:val="Compact"/>
            </w:pPr>
            <w:r>
              <w:t xml:space="preserve">Cloud-based NAC / 802.1X —</w:t>
            </w:r>
            <w:r>
              <w:t xml:space="preserve"> </w:t>
            </w:r>
            <w:hyperlink r:id="rId33">
              <w:r>
                <w:rPr>
                  <w:rStyle w:val="Hyperlink"/>
                </w:rPr>
                <w:t xml:space="preserve">https://www.juniper.net/us/en/products/cloud-services/access-assurance.html</w:t>
              </w:r>
            </w:hyperlink>
          </w:p>
        </w:tc>
      </w:tr>
      <w:tr>
        <w:tc>
          <w:tcPr/>
          <w:p>
            <w:pPr>
              <w:pStyle w:val="Compact"/>
            </w:pPr>
            <w:r>
              <w:t xml:space="preserve">Juniper Apstra</w:t>
            </w:r>
          </w:p>
        </w:tc>
        <w:tc>
          <w:tcPr/>
          <w:p>
            <w:pPr>
              <w:pStyle w:val="Compact"/>
            </w:pPr>
            <w:r>
              <w:t xml:space="preserve">Intent-based config-as-truth (CM-2/CM-6) —</w:t>
            </w:r>
            <w:r>
              <w:t xml:space="preserve"> </w:t>
            </w:r>
            <w:hyperlink r:id="rId34">
              <w:r>
                <w:rPr>
                  <w:rStyle w:val="Hyperlink"/>
                </w:rPr>
                <w:t xml:space="preserve">https://www.juniper.net/us/en/products/network-automation/apstra.html</w:t>
              </w:r>
            </w:hyperlink>
          </w:p>
        </w:tc>
      </w:tr>
    </w:tbl>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5" Target="https://aplits.disa.mil/" TargetMode="External" /><Relationship Type="http://schemas.openxmlformats.org/officeDocument/2006/relationships/hyperlink" Id="rId23" Target="https://csrc.nist.gov/projects/cryptographic-module-validation-program/validated-modules" TargetMode="External" /><Relationship Type="http://schemas.openxmlformats.org/officeDocument/2006/relationships/hyperlink" Id="rId26" Target="https://marketplace.fedramp.gov/" TargetMode="External" /><Relationship Type="http://schemas.openxmlformats.org/officeDocument/2006/relationships/hyperlink" Id="rId24" Target="https://public.cyber.mil/stigs/" TargetMode="External" /><Relationship Type="http://schemas.openxmlformats.org/officeDocument/2006/relationships/hyperlink" Id="rId28" Target="https://www.cisco.com/site/us/en/products/security/firewalls/index.html" TargetMode="External" /><Relationship Type="http://schemas.openxmlformats.org/officeDocument/2006/relationships/hyperlink" Id="rId27" Target="https://www.cisco.com/site/us/en/products/security/identity-services-engine/index.html" TargetMode="External" /><Relationship Type="http://schemas.openxmlformats.org/officeDocument/2006/relationships/hyperlink" Id="rId29" Target="https://www.cisco.com/site/us/en/solutions/networking/sdwan/index.html" TargetMode="External" /><Relationship Type="http://schemas.openxmlformats.org/officeDocument/2006/relationships/hyperlink" Id="rId33" Target="https://www.juniper.net/us/en/products/cloud-services/access-assurance.html" TargetMode="External" /><Relationship Type="http://schemas.openxmlformats.org/officeDocument/2006/relationships/hyperlink" Id="rId34" Target="https://www.juniper.net/us/en/products/network-automation/apstra.html" TargetMode="External" /><Relationship Type="http://schemas.openxmlformats.org/officeDocument/2006/relationships/hyperlink" Id="rId32" Target="https://www.juniper.net/us/en/products/security/srx-series.html" TargetMode="External" /><Relationship Type="http://schemas.openxmlformats.org/officeDocument/2006/relationships/hyperlink" Id="rId22" Target="https://www.niap-ccevs.org/Product/" TargetMode="External" /><Relationship Type="http://schemas.openxmlformats.org/officeDocument/2006/relationships/hyperlink" Id="rId30" Target="https://www.paloaltonetworks.com/network-security/next-generation-firewall" TargetMode="External" /><Relationship Type="http://schemas.openxmlformats.org/officeDocument/2006/relationships/hyperlink" Id="rId31" Target="https://www.paloaltonetworks.com/sase/access" TargetMode="External" /></Relationships>
</file>

<file path=word/_rels/footnotes.xml.rels><?xml version="1.0" encoding="UTF-8"?><Relationships xmlns="http://schemas.openxmlformats.org/package/2006/relationships"><Relationship Type="http://schemas.openxmlformats.org/officeDocument/2006/relationships/hyperlink" Id="rId25" Target="https://aplits.disa.mil/" TargetMode="External" /><Relationship Type="http://schemas.openxmlformats.org/officeDocument/2006/relationships/hyperlink" Id="rId23" Target="https://csrc.nist.gov/projects/cryptographic-module-validation-program/validated-modules" TargetMode="External" /><Relationship Type="http://schemas.openxmlformats.org/officeDocument/2006/relationships/hyperlink" Id="rId26" Target="https://marketplace.fedramp.gov/" TargetMode="External" /><Relationship Type="http://schemas.openxmlformats.org/officeDocument/2006/relationships/hyperlink" Id="rId24" Target="https://public.cyber.mil/stigs/" TargetMode="External" /><Relationship Type="http://schemas.openxmlformats.org/officeDocument/2006/relationships/hyperlink" Id="rId28" Target="https://www.cisco.com/site/us/en/products/security/firewalls/index.html" TargetMode="External" /><Relationship Type="http://schemas.openxmlformats.org/officeDocument/2006/relationships/hyperlink" Id="rId27" Target="https://www.cisco.com/site/us/en/products/security/identity-services-engine/index.html" TargetMode="External" /><Relationship Type="http://schemas.openxmlformats.org/officeDocument/2006/relationships/hyperlink" Id="rId29" Target="https://www.cisco.com/site/us/en/solutions/networking/sdwan/index.html" TargetMode="External" /><Relationship Type="http://schemas.openxmlformats.org/officeDocument/2006/relationships/hyperlink" Id="rId33" Target="https://www.juniper.net/us/en/products/cloud-services/access-assurance.html" TargetMode="External" /><Relationship Type="http://schemas.openxmlformats.org/officeDocument/2006/relationships/hyperlink" Id="rId34" Target="https://www.juniper.net/us/en/products/network-automation/apstra.html" TargetMode="External" /><Relationship Type="http://schemas.openxmlformats.org/officeDocument/2006/relationships/hyperlink" Id="rId32" Target="https://www.juniper.net/us/en/products/security/srx-series.html" TargetMode="External" /><Relationship Type="http://schemas.openxmlformats.org/officeDocument/2006/relationships/hyperlink" Id="rId22" Target="https://www.niap-ccevs.org/Product/" TargetMode="External" /><Relationship Type="http://schemas.openxmlformats.org/officeDocument/2006/relationships/hyperlink" Id="rId30" Target="https://www.paloaltonetworks.com/network-security/next-generation-firewall" TargetMode="External" /><Relationship Type="http://schemas.openxmlformats.org/officeDocument/2006/relationships/hyperlink" Id="rId31" Target="https://www.paloaltonetworks.com/sase/acce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 Book 07 — Federal Compliance — Network Enforcement Substrate: Cisco, Palo Alto, Juniper and the NIAP/STIG/FIPS Path</dc:title>
  <dc:creator>Federal Cloud Services</dc:creator>
  <cp:keywords/>
  <dcterms:created xsi:type="dcterms:W3CDTF">2026-10-19T10:10:15Z</dcterms:created>
  <dcterms:modified xsi:type="dcterms:W3CDTF">2026-10-19T10:10:15Z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2026-07-09 12:41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How Customer-Owned Network Gear Closes NIST Controls — and the Accreditation Gate That Governs It</vt:lpwstr>
  </property>
  <property fmtid="{D5CDD505-2E9C-101B-9397-08002B2CF9AE}" pid="16" name="toc-title">
    <vt:lpwstr>Table of contents</vt:lpwstr>
  </property>
</Properties>
</file>