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Vol VII Book 01 — Federal Compliance — CMDB Reconciliation &amp; Asset Identity</w:t>
      </w:r>
    </w:p>
    <w:p>
      <w:pPr>
        <w:pStyle w:val="Subtitle"/>
      </w:pPr>
      <w:r>
        <w:t xml:space="preserve">Populating the CMDB from M365 and Azure, and reconciling it to the authoritative IPAM/DDI join key (CM-8)</w:t>
      </w:r>
    </w:p>
    <w:p>
      <w:pPr>
        <w:pStyle w:val="Author"/>
      </w:pPr>
      <w:r>
        <w:t xml:space="preserve">Federal Cloud Services</w:t>
      </w:r>
    </w:p>
    <w:p>
      <w:pPr>
        <w:pStyle w:val="Date"/>
      </w:pPr>
      <w:r>
        <w:t xml:space="preserve">2026-07-12 19:00 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9" w:name="draft-proposal-subject-to-review"/>
    <w:p>
      <w:pPr>
        <w:pStyle w:val="Heading2"/>
      </w:pPr>
      <w:r>
        <w:t xml:space="preserve">0.1 Draft Proposal — Subject to Review</w:t>
      </w:r>
    </w:p>
    <w:p>
      <w:pPr>
        <w:pStyle w:val="FirstParagraph"/>
      </w:pPr>
      <w:r>
        <w:t xml:space="preserve">Developed by the</w:t>
      </w:r>
      <w:r>
        <w:t xml:space="preserve"> </w:t>
      </w:r>
      <w:r>
        <w:rPr>
          <w:b/>
          <w:bCs/>
        </w:rPr>
        <w:t xml:space="preserve">CSI Team (Cloud Services Infrastructure)</w:t>
      </w:r>
      <w:r>
        <w:t xml:space="preserve">; not yet reviewed or approved by the Agency CIO Office, OIS, or leadership.</w:t>
      </w:r>
      <w:r>
        <w:t xml:space="preserve"> </w:t>
      </w:r>
      <w:r>
        <w:rPr>
          <w:b/>
          <w:bCs/>
        </w:rPr>
        <w:t xml:space="preserve">Date Code:</w:t>
      </w:r>
      <w:r>
        <w:t xml:space="preserve"> </w:t>
      </w:r>
      <w:r>
        <w:t xml:space="preserve">2026-07-12 15:00 ET</w:t>
      </w:r>
    </w:p>
    <w:bookmarkEnd w:id="9"/>
    <w:p>
      <w:pPr>
        <w:pStyle w:val="BodyText"/>
      </w:pPr>
      <w:r>
        <w:rPr>
          <w:b/>
          <w:bCs/>
        </w:rPr>
        <w:t xml:space="preserve">Series Context</w:t>
      </w:r>
      <w:r>
        <w:t xml:space="preserve"> </w:t>
      </w:r>
      <w:r>
        <w:t xml:space="preserve">— Volume VII Book 01. The foundation of the coordination layer: before ServiceNow can route control work over M365 and Azure, its CMDB must know what exists — and that knowledge must</w:t>
      </w:r>
      <w:r>
        <w:t xml:space="preserve"> </w:t>
      </w:r>
      <w:r>
        <w:rPr>
          <w:b/>
          <w:bCs/>
        </w:rPr>
        <w:t xml:space="preserve">reconcile to</w:t>
      </w:r>
      <w:r>
        <w:t xml:space="preserve"> </w:t>
      </w:r>
      <w:r>
        <w:t xml:space="preserve">the authoritative IPAM/DDI asset identity established in</w:t>
      </w:r>
      <w:r>
        <w:t xml:space="preserve"> </w:t>
      </w:r>
      <w:r>
        <w:rPr>
          <w:b/>
          <w:bCs/>
        </w:rPr>
        <w:t xml:space="preserve">Vol I Book 01</w:t>
      </w:r>
      <w:r>
        <w:t xml:space="preserve">, not compete with it. This book is the CM-8 join that makes every downstream compliance task addressable to a real, single asset.</w:t>
      </w:r>
    </w:p>
    <w:bookmarkStart w:id="10" w:name="what-this-document-addresses"/>
    <w:p>
      <w:pPr>
        <w:pStyle w:val="Heading1"/>
      </w:pPr>
      <w:r>
        <w:t xml:space="preserve">1. What This Document Addresses</w:t>
      </w:r>
    </w:p>
    <w:p>
      <w:pPr>
        <w:pStyle w:val="FirstParagraph"/>
      </w:pPr>
      <w:r>
        <w:t xml:space="preserve">A compliance task is only as good as the asset it names.</w:t>
      </w:r>
      <w:r>
        <w:t xml:space="preserve"> </w:t>
      </w:r>
      <w:r>
        <w:t xml:space="preserve">“Remediate the exposed storage account”</w:t>
      </w:r>
      <w:r>
        <w:t xml:space="preserve"> </w:t>
      </w:r>
      <w:r>
        <w:t xml:space="preserve">is actionable;</w:t>
      </w:r>
      <w:r>
        <w:t xml:space="preserve"> </w:t>
      </w:r>
      <w:r>
        <w:t xml:space="preserve">“remediate something in one of three subscriptions”</w:t>
      </w:r>
      <w:r>
        <w:t xml:space="preserve"> </w:t>
      </w:r>
      <w:r>
        <w:t xml:space="preserve">is not. Coordination therefore begins with inventory: the CMDB must hold every M365 and Azure asset a control claim can attach to, keyed to an identity an assessor can trace end to end.</w:t>
      </w:r>
    </w:p>
    <w:p>
      <w:pPr>
        <w:pStyle w:val="BodyText"/>
      </w:pPr>
      <w:r>
        <w:t xml:space="preserve">This book covers how the CMDB is populated from the two cloud surfaces, and — the load-bearing part — how it is</w:t>
      </w:r>
      <w:r>
        <w:t xml:space="preserve"> </w:t>
      </w:r>
      <w:r>
        <w:rPr>
          <w:b/>
          <w:bCs/>
        </w:rPr>
        <w:t xml:space="preserve">reconciled</w:t>
      </w:r>
      <w:r>
        <w:t xml:space="preserve"> </w:t>
      </w:r>
      <w:r>
        <w:t xml:space="preserve">to the authoritative asset identity so the CMDB never becomes a second, competing source of truth. The naming plane (IPAM/DDI, Vol I Book 01) owns identity; the CMDB is its workflow projection.</w:t>
      </w:r>
    </w:p>
    <w:bookmarkEnd w:id="10"/>
    <w:bookmarkStart w:id="11" w:name="the-reconciliation-model"/>
    <w:p>
      <w:pPr>
        <w:pStyle w:val="Heading1"/>
      </w:pPr>
      <w:r>
        <w:t xml:space="preserve">2. The Reconciliation Model</w:t>
      </w:r>
    </w:p>
    <w:p>
      <w:pPr>
        <w:pStyle w:val="FirstParagraph"/>
      </w:pPr>
      <w:r>
        <w:rPr>
          <w:b/>
          <w:bCs/>
        </w:rPr>
        <w:t xml:space="preserve">The CMDB is a projection, not a source of truth.</w:t>
      </w:r>
      <w:r>
        <w:t xml:space="preserve"> </w:t>
      </w:r>
      <w:r>
        <w:t xml:space="preserve">Discovery and connectors</w:t>
      </w:r>
      <w:r>
        <w:t xml:space="preserve"> </w:t>
      </w:r>
      <w:r>
        <w:rPr>
          <w:i/>
          <w:iCs/>
        </w:rPr>
        <w:t xml:space="preserve">populate</w:t>
      </w:r>
      <w:r>
        <w:t xml:space="preserve"> </w:t>
      </w:r>
      <w:r>
        <w:t xml:space="preserve">the CMDB; the authoritative IPAM/DDI record</w:t>
      </w:r>
      <w:r>
        <w:t xml:space="preserve"> </w:t>
      </w:r>
      <w:r>
        <w:rPr>
          <w:i/>
          <w:iCs/>
        </w:rPr>
        <w:t xml:space="preserve">governs</w:t>
      </w:r>
      <w:r>
        <w:t xml:space="preserve"> </w:t>
      </w:r>
      <w:r>
        <w:t xml:space="preserve">identity. Where they disagree, the CMDB is wrong by definition and the disagreement is itself a finding. This is the CM-8 join key discipline (Vol I Book 01, Vol III Book 03): one authoritative name/address per asset, and every inventory — ServiceNow, Defender, Azure Resource Graph, Purview — reconciled to it.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Layer</w:t>
            </w:r>
          </w:p>
        </w:tc>
        <w:tc>
          <w:tcPr/>
          <w:p>
            <w:pPr>
              <w:pStyle w:val="Compact"/>
            </w:pPr>
            <w:r>
              <w:t xml:space="preserve">Owns</w:t>
            </w:r>
          </w:p>
        </w:tc>
        <w:tc>
          <w:tcPr/>
          <w:p>
            <w:pPr>
              <w:pStyle w:val="Compact"/>
            </w:pPr>
            <w:r>
              <w:t xml:space="preserve">Realized by</w:t>
            </w:r>
          </w:p>
        </w:tc>
        <w:tc>
          <w:tcPr/>
          <w:p>
            <w:pPr>
              <w:pStyle w:val="Compact"/>
            </w:pPr>
            <w:r>
              <w:t xml:space="preserve">Reconciles to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Naming &amp; addressing plane (truth)</w:t>
            </w:r>
          </w:p>
        </w:tc>
        <w:tc>
          <w:tcPr/>
          <w:p>
            <w:pPr>
              <w:pStyle w:val="Compact"/>
            </w:pPr>
            <w:r>
              <w:t xml:space="preserve">Authoritative asset identity — name, address, DNS/IPAM record</w:t>
            </w:r>
          </w:p>
        </w:tc>
        <w:tc>
          <w:tcPr/>
          <w:p>
            <w:pPr>
              <w:pStyle w:val="Compact"/>
            </w:pPr>
            <w:r>
              <w:t xml:space="preserve">IPAM/DDI (Vol I Book 01)</w:t>
            </w:r>
          </w:p>
        </w:tc>
        <w:tc>
          <w:tcPr/>
          <w:p>
            <w:pPr>
              <w:pStyle w:val="Compact"/>
            </w:pPr>
            <w:r>
              <w:t xml:space="preserve">— (it is the SSOT)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Cloud-native inventory</w:t>
            </w:r>
          </w:p>
        </w:tc>
        <w:tc>
          <w:tcPr/>
          <w:p>
            <w:pPr>
              <w:pStyle w:val="Compact"/>
            </w:pPr>
            <w:r>
              <w:t xml:space="preserve">Per-surface resource state</w:t>
            </w:r>
          </w:p>
        </w:tc>
        <w:tc>
          <w:tcPr/>
          <w:p>
            <w:pPr>
              <w:pStyle w:val="Compact"/>
            </w:pPr>
            <w:r>
              <w:t xml:space="preserve">M365 Graph; Azure Resource Graph; Defender inventory</w:t>
            </w:r>
          </w:p>
        </w:tc>
        <w:tc>
          <w:tcPr/>
          <w:p>
            <w:pPr>
              <w:pStyle w:val="Compact"/>
            </w:pPr>
            <w:r>
              <w:t xml:space="preserve">The naming plane, at ingest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CMDB (coordination projection)</w:t>
            </w:r>
          </w:p>
        </w:tc>
        <w:tc>
          <w:tcPr/>
          <w:p>
            <w:pPr>
              <w:pStyle w:val="Compact"/>
            </w:pPr>
            <w:r>
              <w:t xml:space="preserve">Workflow-addressable CI records + relationships</w:t>
            </w:r>
          </w:p>
        </w:tc>
        <w:tc>
          <w:tcPr/>
          <w:p>
            <w:pPr>
              <w:pStyle w:val="Compact"/>
            </w:pPr>
            <w:r>
              <w:t xml:space="preserve">ServiceNow Discovery / Service Graph Connectors</w:t>
            </w:r>
          </w:p>
        </w:tc>
        <w:tc>
          <w:tcPr/>
          <w:p>
            <w:pPr>
              <w:pStyle w:val="Compact"/>
            </w:pPr>
            <w:r>
              <w:t xml:space="preserve">The naming plane, on every reconcile pass</w:t>
            </w:r>
          </w:p>
        </w:tc>
      </w:tr>
    </w:tbl>
    <w:bookmarkEnd w:id="11"/>
    <w:bookmarkStart w:id="12" w:name="population-where-cis-come-from"/>
    <w:p>
      <w:pPr>
        <w:pStyle w:val="Heading1"/>
      </w:pPr>
      <w:r>
        <w:t xml:space="preserve">3. Population — Where CIs Come From</w:t>
      </w:r>
    </w:p>
    <w:p>
      <w:pPr>
        <w:pStyle w:val="FirstParagraph"/>
      </w:pPr>
      <w:r>
        <w:t xml:space="preserve">The CMDB is populated by connectors, never by hand-entry, so it is reproducible and diffable: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 surface</w:t>
            </w:r>
          </w:p>
        </w:tc>
        <w:tc>
          <w:tcPr/>
          <w:p>
            <w:pPr>
              <w:pStyle w:val="Compact"/>
            </w:pPr>
            <w:r>
              <w:t xml:space="preserve">Connector / method</w:t>
            </w:r>
          </w:p>
        </w:tc>
        <w:tc>
          <w:tcPr/>
          <w:p>
            <w:pPr>
              <w:pStyle w:val="Compact"/>
            </w:pPr>
            <w:r>
              <w:t xml:space="preserve">Representative CI classes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M365 / Entra</w:t>
            </w:r>
          </w:p>
        </w:tc>
        <w:tc>
          <w:tcPr/>
          <w:p>
            <w:pPr>
              <w:pStyle w:val="Compact"/>
            </w:pPr>
            <w:r>
              <w:t xml:space="preserve">Microsoft Graph via an in-boundary integration (users, groups, licensed services, service principals, Conditional Access policy objects as configuration CIs)</w:t>
            </w:r>
          </w:p>
        </w:tc>
        <w:tc>
          <w:tcPr/>
          <w:p>
            <w:pPr>
              <w:pStyle w:val="Compact"/>
            </w:pPr>
            <w:r>
              <w:t xml:space="preserve">User, Group, SaaS Subscription, CA Policy (config CI)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Azure</w:t>
            </w:r>
          </w:p>
        </w:tc>
        <w:tc>
          <w:tcPr/>
          <w:p>
            <w:pPr>
              <w:pStyle w:val="Compact"/>
            </w:pPr>
            <w:r>
              <w:t xml:space="preserve">Azure Resource Graph / Service Graph Connector for Azure (subscriptions, resource groups, VMs, storage, key vaults, policy assignments)</w:t>
            </w:r>
          </w:p>
        </w:tc>
        <w:tc>
          <w:tcPr/>
          <w:p>
            <w:pPr>
              <w:pStyle w:val="Compact"/>
            </w:pPr>
            <w:r>
              <w:t xml:space="preserve">Cloud Subscription, VM Instance, Storage Account, Key Vault, Policy Assignment (config CI)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Endpoint / hybrid</w:t>
            </w:r>
          </w:p>
        </w:tc>
        <w:tc>
          <w:tcPr/>
          <w:p>
            <w:pPr>
              <w:pStyle w:val="Compact"/>
            </w:pPr>
            <w:r>
              <w:t xml:space="preserve">Discovery via the in-boundary MID Server; Arc-projected servers as CIs</w:t>
            </w:r>
          </w:p>
        </w:tc>
        <w:tc>
          <w:tcPr/>
          <w:p>
            <w:pPr>
              <w:pStyle w:val="Compact"/>
            </w:pPr>
            <w:r>
              <w:t xml:space="preserve">Server, Arc-enabled Server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Security posture</w:t>
            </w:r>
          </w:p>
        </w:tc>
        <w:tc>
          <w:tcPr/>
          <w:p>
            <w:pPr>
              <w:pStyle w:val="Compact"/>
            </w:pPr>
            <w:r>
              <w:t xml:space="preserve">Defender for Cloud / MDVM inventory as attributes and relationships on existing CIs (not a parallel CI tree)</w:t>
            </w:r>
          </w:p>
        </w:tc>
        <w:tc>
          <w:tcPr/>
          <w:p>
            <w:pPr>
              <w:pStyle w:val="Compact"/>
            </w:pPr>
            <w:r>
              <w:t xml:space="preserve">(attributes on VM/Storage/Subscription CIs)</w:t>
            </w:r>
          </w:p>
        </w:tc>
      </w:tr>
    </w:tbl>
    <w:p>
      <w:pPr>
        <w:pStyle w:val="BodyText"/>
      </w:pPr>
      <w:r>
        <w:rPr>
          <w:b/>
          <w:bCs/>
        </w:rPr>
        <w:t xml:space="preserve">Configuration objects are CIs too.</w:t>
      </w:r>
      <w:r>
        <w:t xml:space="preserve"> </w:t>
      </w:r>
      <w:r>
        <w:t xml:space="preserve">A Conditional Access policy, an Azure Policy assignment, and a SCuBA baseline setting are</w:t>
      </w:r>
      <w:r>
        <w:t xml:space="preserve"> </w:t>
      </w:r>
      <w:r>
        <w:rPr>
          <w:i/>
          <w:iCs/>
        </w:rPr>
        <w:t xml:space="preserve">configuration state</w:t>
      </w:r>
      <w:r>
        <w:t xml:space="preserve"> </w:t>
      </w:r>
      <w:r>
        <w:t xml:space="preserve">the compliance workflow reasons about — they are modeled as configuration CIs so a drift task can reference the exact object that drifted, not a free-text description of it.</w:t>
      </w:r>
    </w:p>
    <w:bookmarkEnd w:id="12"/>
    <w:bookmarkStart w:id="13" w:name="the-reconcile-pass-making-the-join-real"/>
    <w:p>
      <w:pPr>
        <w:pStyle w:val="Heading1"/>
      </w:pPr>
      <w:r>
        <w:t xml:space="preserve">4. The Reconcile Pass — Making the Join Real</w:t>
      </w:r>
    </w:p>
    <w:p>
      <w:pPr>
        <w:pStyle w:val="FirstParagraph"/>
      </w:pPr>
      <w:r>
        <w:t xml:space="preserve">Each ingest runs a reconcile step against the naming plane before a CI is trusted for routing: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Match</w:t>
      </w:r>
      <w:r>
        <w:t xml:space="preserve"> </w:t>
      </w:r>
      <w:r>
        <w:t xml:space="preserve">— the incoming cloud asset is matched to an authoritative IPAM/DDI record by name/address (the CM-8 key). Identification rules use the authoritative key first, cloud resource-id second — never the reverse, or the CMDB would anoint the cloud id as truth.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Bind</w:t>
      </w:r>
      <w:r>
        <w:t xml:space="preserve"> </w:t>
      </w:r>
      <w:r>
        <w:t xml:space="preserve">— the matched CI carries the authoritative identity as its correlation key, so every downstream task, change, and evidence record inherits one traceable asset identity across surfaces.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Flag</w:t>
      </w:r>
      <w:r>
        <w:t xml:space="preserve"> </w:t>
      </w:r>
      <w:r>
        <w:t xml:space="preserve">— an asset present in a cloud surface but absent from the naming plane is a</w:t>
      </w:r>
      <w:r>
        <w:t xml:space="preserve"> </w:t>
      </w:r>
      <w:r>
        <w:rPr>
          <w:b/>
          <w:bCs/>
        </w:rPr>
        <w:t xml:space="preserve">reconciliation exception</w:t>
      </w:r>
      <w:r>
        <w:t xml:space="preserve">: either shadow IT (a real finding — CM-8, BOD 23-01) or an IPAM gap (a naming-plane defect). Either way it is raised, not silently absorbed.</w:t>
      </w:r>
    </w:p>
    <w:p>
      <w:pPr>
        <w:pStyle w:val="FirstParagraph"/>
      </w:pPr>
      <w:r>
        <w:t xml:space="preserve">The reconcile exception queue is itself a compliance artifact: it is the running measure of how completely the estate is enumerated, which is exactly what CM-8 and CISA BOD 23-01 require.</w:t>
      </w:r>
    </w:p>
    <w:bookmarkEnd w:id="13"/>
    <w:bookmarkStart w:id="15" w:name="closure-necessity"/>
    <w:p>
      <w:pPr>
        <w:pStyle w:val="Heading1"/>
      </w:pPr>
      <w:r>
        <w:t xml:space="preserve">5. Closure Necessity</w:t>
      </w:r>
    </w:p>
    <w:bookmarkStart w:id="14" w:name="X8df8d86020589bf5c497d1851f51e9a1f88655a"/>
    <w:p>
      <w:pPr>
        <w:pStyle w:val="Heading2"/>
      </w:pPr>
      <w:r>
        <w:t xml:space="preserve">5.1 Closure Necessity — you cannot coordinate what you cannot address</w:t>
      </w:r>
    </w:p>
    <w:p>
      <w:pPr>
        <w:pStyle w:val="FirstParagraph"/>
      </w:pPr>
      <w:r>
        <w:t xml:space="preserve">Every downstream book in this volume routes work</w:t>
      </w:r>
      <w:r>
        <w:t xml:space="preserve"> </w:t>
      </w:r>
      <w:r>
        <w:rPr>
          <w:i/>
          <w:iCs/>
        </w:rPr>
        <w:t xml:space="preserve">to an asset</w:t>
      </w:r>
      <w:r>
        <w:t xml:space="preserve">. If the CMDB’s asset identity is not reconciled to one authoritative source, the same VM appears as three CIs, a remediation task closes against the wrong one, and the evidence trail forks. The naming plane is the necessity anchor (Vol I Book 01); this book is the discipline that keeps the coordination layer bound to it. Skip the reconcile and the whole volume routes work into ambiguity.</w:t>
      </w:r>
    </w:p>
    <w:bookmarkEnd w:id="14"/>
    <w:bookmarkEnd w:id="15"/>
    <w:bookmarkStart w:id="16" w:name="Xebd9fbc0874ac437cee95afe649484f9b290fc1"/>
    <w:p>
      <w:pPr>
        <w:pStyle w:val="Heading1"/>
      </w:pPr>
      <w:r>
        <w:t xml:space="preserve">6. NIST SP 800-53 Rev 5 Control Closure — Authorities Closed Here</w:t>
      </w:r>
    </w:p>
    <w:p>
      <w:pPr>
        <w:pStyle w:val="FirstParagraph"/>
      </w:pPr>
      <w:r>
        <w:t xml:space="preserve">The table below is generated from the series compliance spine (</w:t>
      </w:r>
      <w:r>
        <w:rPr>
          <w:rStyle w:val="VerbatimChar"/>
        </w:rPr>
        <w:t xml:space="preserve">federal-compliance-compliance-spine.yml</w:t>
      </w:r>
      <w:r>
        <w:t xml:space="preserve">) by</w:t>
      </w:r>
      <w:r>
        <w:t xml:space="preserve"> </w:t>
      </w:r>
      <w:r>
        <w:rPr>
          <w:rStyle w:val="VerbatimChar"/>
        </w:rPr>
        <w:t xml:space="preserve">render_authorities_table.py</w:t>
      </w:r>
      <w:r>
        <w:t xml:space="preserve">; it is not hand-edited here. It records the</w:t>
      </w:r>
      <w:r>
        <w:t xml:space="preserve"> </w:t>
      </w:r>
      <w:r>
        <w:rPr>
          <w:i/>
          <w:iCs/>
        </w:rPr>
        <w:t xml:space="preserve">coordination</w:t>
      </w:r>
      <w:r>
        <w:t xml:space="preserve"> </w:t>
      </w:r>
      <w:r>
        <w:t xml:space="preserve">closures this book operationalizes — CM-8 reconciliation and the CM-3 change gate — neither of which re-closes the naming-plane necessity (that stays in Vol I Book 01).</w:t>
      </w:r>
    </w:p>
    <w:p>
      <w:pPr>
        <w:pStyle w:val="TableCaption"/>
      </w:pPr>
      <w:r>
        <w:t xml:space="preserve">Authorities Closed Here — CMDB Reconciliation &amp; Asset Identity (reconciled to IPAM/DDI) († = Closure-Necessity anchor: no alternate closure path)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tblCaption w:val="Authorities Closed Here — CMDB Reconciliation &amp; Asset Identity (reconciled to IPAM/DDI) († = Closure-Necessity anchor: no alternate closure path)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Control</w:t>
            </w:r>
          </w:p>
        </w:tc>
        <w:tc>
          <w:tcPr/>
          <w:p>
            <w:pPr>
              <w:pStyle w:val="Compact"/>
            </w:pPr>
            <w:r>
              <w:t xml:space="preserve">Title</w:t>
            </w:r>
          </w:p>
        </w:tc>
        <w:tc>
          <w:tcPr/>
          <w:p>
            <w:pPr>
              <w:pStyle w:val="Compact"/>
            </w:pPr>
            <w:r>
              <w:t xml:space="preserve">Closing mechanism (function, not product)</w:t>
            </w:r>
          </w:p>
        </w:tc>
        <w:tc>
          <w:tcPr/>
          <w:p>
            <w:pPr>
              <w:pStyle w:val="Compact"/>
            </w:pPr>
            <w:r>
              <w:t xml:space="preserve">Accreditation gate</w:t>
            </w:r>
          </w:p>
        </w:tc>
        <w:tc>
          <w:tcPr/>
          <w:p>
            <w:pPr>
              <w:pStyle w:val="Compact"/>
            </w:pPr>
            <w:r>
              <w:t xml:space="preserve">Authority drivers</w:t>
            </w:r>
          </w:p>
        </w:tc>
        <w:tc>
          <w:tcPr/>
          <w:p>
            <w:pPr>
              <w:pStyle w:val="Compact"/>
            </w:pPr>
            <w:r>
              <w:t xml:space="preserve">Evidence slot</w:t>
            </w:r>
          </w:p>
        </w:tc>
        <w:tc>
          <w:tcPr/>
          <w:p>
            <w:pPr>
              <w:pStyle w:val="Compact"/>
            </w:pPr>
            <w:r>
              <w:t xml:space="preserve">FedRAMP 20x KSI</w:t>
            </w:r>
          </w:p>
        </w:tc>
        <w:tc>
          <w:tcPr/>
          <w:p>
            <w:pPr>
              <w:pStyle w:val="Compact"/>
            </w:pPr>
            <w:r>
              <w:t xml:space="preserve">Tool-attestable?</w:t>
            </w:r>
          </w:p>
        </w:tc>
      </w:tr>
      <w:tr>
        <w:tc>
          <w:tcPr/>
          <w:p>
            <w:pPr>
              <w:pStyle w:val="Compact"/>
            </w:pPr>
            <w:r>
              <w:t xml:space="preserve">CM-8</w:t>
            </w:r>
          </w:p>
        </w:tc>
        <w:tc>
          <w:tcPr/>
          <w:p>
            <w:pPr>
              <w:pStyle w:val="Compact"/>
            </w:pPr>
            <w:r>
              <w:t xml:space="preserve">System Component Inventory</w:t>
            </w:r>
          </w:p>
        </w:tc>
        <w:tc>
          <w:tcPr/>
          <w:p>
            <w:pPr>
              <w:pStyle w:val="Compact"/>
            </w:pPr>
            <w:r>
              <w:t xml:space="preserve">ServiceNow CMDB populated by Discovery/Service Graph connectors and reconciled to the authoritative IPAM/DDI asset identity (CM-8 join key); DDI stays the SSOT, the CMDB is the workflow projection</w:t>
            </w:r>
          </w:p>
        </w:tc>
        <w:tc>
          <w:tcPr/>
          <w:p>
            <w:pPr>
              <w:pStyle w:val="Compact"/>
            </w:pPr>
            <w:r>
              <w:t xml:space="preserve">FedRAMP Moderate</w:t>
            </w:r>
          </w:p>
        </w:tc>
        <w:tc>
          <w:tcPr/>
          <w:p>
            <w:pPr>
              <w:pStyle w:val="Compact"/>
            </w:pPr>
            <w:r>
              <w:t xml:space="preserve">NIST SP 800-53 Rev 5; CISA BOD 23-01</w:t>
            </w:r>
          </w:p>
        </w:tc>
        <w:tc>
          <w:tcPr/>
          <w:p>
            <w:pPr>
              <w:pStyle w:val="Compact"/>
            </w:pPr>
            <w:r>
              <w:t xml:space="preserve">Network</w:t>
            </w:r>
          </w:p>
        </w:tc>
        <w:tc>
          <w:tcPr/>
          <w:p>
            <w:pPr>
              <w:pStyle w:val="Compact"/>
            </w:pPr>
            <w:r>
              <w:t xml:space="preserve">KSI-PIY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  <w:tr>
        <w:tc>
          <w:tcPr/>
          <w:p>
            <w:pPr>
              <w:pStyle w:val="Compact"/>
            </w:pPr>
            <w:r>
              <w:t xml:space="preserve">CM-3</w:t>
            </w:r>
          </w:p>
        </w:tc>
        <w:tc>
          <w:tcPr/>
          <w:p>
            <w:pPr>
              <w:pStyle w:val="Compact"/>
            </w:pPr>
            <w:r>
              <w:t xml:space="preserve">Configuration Change Control</w:t>
            </w:r>
          </w:p>
        </w:tc>
        <w:tc>
          <w:tcPr/>
          <w:p>
            <w:pPr>
              <w:pStyle w:val="Compact"/>
            </w:pPr>
            <w:r>
              <w:t xml:space="preserve">Change Management as the CM-3 gate: every compliance-affecting change to M365/Azure carries an approved, reviewable change record before actuation</w:t>
            </w:r>
          </w:p>
        </w:tc>
        <w:tc>
          <w:tcPr/>
          <w:p>
            <w:pPr>
              <w:pStyle w:val="Compact"/>
            </w:pPr>
            <w:r>
              <w:t xml:space="preserve">FedRAMP Moderate</w:t>
            </w:r>
          </w:p>
        </w:tc>
        <w:tc>
          <w:tcPr/>
          <w:p>
            <w:pPr>
              <w:pStyle w:val="Compact"/>
            </w:pPr>
            <w:r>
              <w:t xml:space="preserve">NIST SP 800-53 Rev 5; OMB Circular A-130</w:t>
            </w:r>
          </w:p>
        </w:tc>
        <w:tc>
          <w:tcPr/>
          <w:p>
            <w:pPr>
              <w:pStyle w:val="Compact"/>
            </w:pPr>
            <w:r>
              <w:t xml:space="preserve">Security / supply chain</w:t>
            </w:r>
          </w:p>
        </w:tc>
        <w:tc>
          <w:tcPr/>
          <w:p>
            <w:pPr>
              <w:pStyle w:val="Compact"/>
            </w:pPr>
            <w:r>
              <w:t xml:space="preserve">KSI-CMT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</w:tbl>
    <w:bookmarkEnd w:id="16"/>
    <w:bookmarkStart w:id="17" w:name="honest-limits"/>
    <w:p>
      <w:pPr>
        <w:pStyle w:val="Heading1"/>
      </w:pPr>
      <w:r>
        <w:t xml:space="preserve">7. Honest Limits</w:t>
      </w:r>
    </w:p>
    <w:p>
      <w:pPr>
        <w:pStyle w:val="Compact"/>
        <w:numPr>
          <w:ilvl w:val="0"/>
          <w:numId w:val="1002"/>
        </w:numPr>
      </w:pPr>
      <w:r>
        <w:t xml:space="preserve">Discovery and connector coverage decays: a new resource type or a connector version drift leaves assets un-modeled. The reconcile-exception queue surfaces the gap, but only if it is worked — an unworked queue is a silent CM-8 regression.</w:t>
      </w:r>
    </w:p>
    <w:p>
      <w:pPr>
        <w:pStyle w:val="Compact"/>
        <w:numPr>
          <w:ilvl w:val="0"/>
          <w:numId w:val="1002"/>
        </w:numPr>
      </w:pPr>
      <w:r>
        <w:t xml:space="preserve">The CMDB reconciles to the naming plane; it cannot</w:t>
      </w:r>
      <w:r>
        <w:t xml:space="preserve"> </w:t>
      </w:r>
      <w:r>
        <w:rPr>
          <w:i/>
          <w:iCs/>
        </w:rPr>
        <w:t xml:space="preserve">repair</w:t>
      </w:r>
      <w:r>
        <w:t xml:space="preserve"> </w:t>
      </w:r>
      <w:r>
        <w:t xml:space="preserve">the naming plane. An IPAM gap must be fixed in IPAM (Vol I Book 01), not patched in the CMDB, or the fix inverts the truth relationship.</w:t>
      </w:r>
    </w:p>
    <w:p>
      <w:pPr>
        <w:pStyle w:val="Compact"/>
        <w:numPr>
          <w:ilvl w:val="0"/>
          <w:numId w:val="1002"/>
        </w:numPr>
      </w:pPr>
      <w:r>
        <w:t xml:space="preserve">Substituting the CMDB platform changes the connectors and identification rules; the reconcile-to-the-naming-plane discipline is invariant.</w:t>
      </w:r>
    </w:p>
    <w:bookmarkEnd w:id="17"/>
    <w:bookmarkStart w:id="18" w:name="cross-references"/>
    <w:p>
      <w:pPr>
        <w:pStyle w:val="Heading1"/>
      </w:pPr>
      <w:r>
        <w:t xml:space="preserve">8. Cross-References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Vol I Book 01</w:t>
      </w:r>
      <w:r>
        <w:t xml:space="preserve"> </w:t>
      </w:r>
      <w:r>
        <w:t xml:space="preserve">— the authoritative IPAM/DDI source of the CM-8 asset-identity join key this book reconciles to (the CM-8</w:t>
      </w:r>
      <w:r>
        <w:t xml:space="preserve"> </w:t>
      </w:r>
      <w:r>
        <w:rPr>
          <w:i/>
          <w:iCs/>
        </w:rPr>
        <w:t xml:space="preserve">closure-necessity</w:t>
      </w:r>
      <w:r>
        <w:t xml:space="preserve"> </w:t>
      </w:r>
      <w:r>
        <w:t xml:space="preserve">anchor is Vol III Book 03).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Vol III Book 03 (Patch &amp; Systems Management)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Vol III Book 07 (Evidence Fabric)</w:t>
      </w:r>
      <w:r>
        <w:t xml:space="preserve"> </w:t>
      </w:r>
      <w:r>
        <w:t xml:space="preserve">— other inventories that reconcile to the same join key.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Vol VII Book 02 / 03</w:t>
      </w:r>
      <w:r>
        <w:t xml:space="preserve"> </w:t>
      </w:r>
      <w:r>
        <w:t xml:space="preserve">— the M365 and Azure compliance books that route work to the CIs this book establishes.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Vol VII Book 05</w:t>
      </w:r>
      <w:r>
        <w:t xml:space="preserve"> </w:t>
      </w:r>
      <w:r>
        <w:t xml:space="preserve">— the scoped app that carries the Discovery/connector configuration and the reconcile job.</w:t>
      </w:r>
    </w:p>
    <w:bookmarkEnd w:id="18"/>
    <w:bookmarkStart w:id="19" w:name="provenance"/>
    <w:p>
      <w:pPr>
        <w:pStyle w:val="Heading1"/>
      </w:pPr>
      <w:r>
        <w:t xml:space="preserve">9. Provenance</w:t>
      </w:r>
    </w:p>
    <w:p>
      <w:pPr>
        <w:pStyle w:val="FirstParagraph"/>
      </w:pPr>
      <w:r>
        <w:t xml:space="preserve">Draft. ServiceNow, Microsoft Graph, and Azure Resource Graph are deployed examples of the connector mechanism; the reconcile-to-the-naming-plane discipline is the invariant. Vendor-capability claims in this draft (Service Graph Connector for Azure, Graph ingest of Conditional Access policy objects, MID Server Discovery, Defender/MDVM inventory) are pending vendor-documentation citations in a References section. The reconciliation-model figure is authored as committed house-style SVG (rasterized to PNG).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 VII Book 01 — Federal Compliance — CMDB Reconciliation &amp; Asset Identity</dc:title>
  <dc:creator>Federal Cloud Services</dc:creator>
  <cp:keywords/>
  <dcterms:created xsi:type="dcterms:W3CDTF">2026-10-19T10:10:17Z</dcterms:created>
  <dcterms:modified xsi:type="dcterms:W3CDTF">2026-10-19T10:10:17Z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gency">
    <vt:lpwstr/>
  </property>
  <property fmtid="{D5CDD505-2E9C-101B-9397-08002B2CF9AE}" pid="3" name="aliases">
    <vt:lpwstr/>
  </property>
  <property fmtid="{D5CDD505-2E9C-101B-9397-08002B2CF9AE}" pid="4" name="authors">
    <vt:lpwstr/>
  </property>
  <property fmtid="{D5CDD505-2E9C-101B-9397-08002B2CF9AE}" pid="5" name="biblio-config">
    <vt:lpwstr>True</vt:lpwstr>
  </property>
  <property fmtid="{D5CDD505-2E9C-101B-9397-08002B2CF9AE}" pid="6" name="by-author">
    <vt:lpwstr/>
  </property>
  <property fmtid="{D5CDD505-2E9C-101B-9397-08002B2CF9AE}" pid="7" name="date">
    <vt:lpwstr>2026-07-12 19:00 ET</vt:lpwstr>
  </property>
  <property fmtid="{D5CDD505-2E9C-101B-9397-08002B2CF9AE}" pid="8" name="date-format">
    <vt:lpwstr>YYYY-MM-DD HH:mm [ET]</vt:lpwstr>
  </property>
  <property fmtid="{D5CDD505-2E9C-101B-9397-08002B2CF9AE}" pid="9" name="execute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labels">
    <vt:lpwstr/>
  </property>
  <property fmtid="{D5CDD505-2E9C-101B-9397-08002B2CF9AE}" pid="14" name="out-width">
    <vt:lpwstr>100%</vt:lpwstr>
  </property>
  <property fmtid="{D5CDD505-2E9C-101B-9397-08002B2CF9AE}" pid="15" name="subtitle">
    <vt:lpwstr>Populating the CMDB from M365 and Azure, and reconciling it to the authoritative IPAM/DDI join key (CM-8)</vt:lpwstr>
  </property>
  <property fmtid="{D5CDD505-2E9C-101B-9397-08002B2CF9AE}" pid="16" name="toc-title">
    <vt:lpwstr>Table of contents</vt:lpwstr>
  </property>
</Properties>
</file>