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VII Book 02 — Federal Compliance — M365 Federal Control Compliance Automation</w:t>
      </w:r>
    </w:p>
    <w:p>
      <w:pPr>
        <w:pStyle w:val="Subtitle"/>
      </w:pPr>
      <w:r>
        <w:t xml:space="preserve">SCuBA baseline drift, Conditional Access exceptions, and Purview data-protection state, operated as ServiceNow work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2026-07-12 19:00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; not yet reviewed or approved by the Agency CIO Office, OIS, or leadership.</w:t>
      </w:r>
      <w:r>
        <w:t xml:space="preserve"> </w:t>
      </w:r>
      <w:r>
        <w:rPr>
          <w:b/>
          <w:bCs/>
        </w:rPr>
        <w:t xml:space="preserve">Date Code:</w:t>
      </w:r>
      <w:r>
        <w:t xml:space="preserve"> </w:t>
      </w:r>
      <w:r>
        <w:t xml:space="preserve">2026-07-12 15:00 ET</w:t>
      </w:r>
    </w:p>
    <w:bookmarkEnd w:id="9"/>
    <w:p>
      <w:pPr>
        <w:pStyle w:val="BodyText"/>
      </w:pPr>
      <w:r>
        <w:rPr>
          <w:b/>
          <w:bCs/>
        </w:rPr>
        <w:t xml:space="preserve">Series Context</w:t>
      </w:r>
      <w:r>
        <w:t xml:space="preserve"> </w:t>
      </w:r>
      <w:r>
        <w:t xml:space="preserve">— Volume VII Book 02. The M365 half of the coordination layer. Microsoft 365 is the SaaS control plane — identity, Conditional Access, secure-configuration baselines (CISA SCuBA / BOD 25-01), and Purview data protection. This book operates that surface’s control state as ServiceNow work: drift becomes a tracked task, a task closure produces evidence, and the roll-up feeds attestation (Vol VII Book 04).</w:t>
      </w:r>
      <w:r>
        <w:t xml:space="preserve"> </w:t>
      </w:r>
      <w:r>
        <w:rPr>
          <w:b/>
          <w:bCs/>
        </w:rPr>
        <w:t xml:space="preserve">Actuation stays platform-native</w:t>
      </w:r>
      <w:r>
        <w:t xml:space="preserve"> </w:t>
      </w:r>
      <w:r>
        <w:t xml:space="preserve">— Graph and the M365 policy engines make the change; ServiceNow governs who, when, under what approval, and with what evidence.</w:t>
      </w:r>
    </w:p>
    <w:bookmarkStart w:id="10" w:name="what-this-document-addresses"/>
    <w:p>
      <w:pPr>
        <w:pStyle w:val="Heading1"/>
      </w:pPr>
      <w:r>
        <w:t xml:space="preserve">1. What This Document Addresses</w:t>
      </w:r>
    </w:p>
    <w:p>
      <w:pPr>
        <w:pStyle w:val="FirstParagraph"/>
      </w:pPr>
      <w:r>
        <w:t xml:space="preserve">The M365 boundary carries a dense set of federal control obligations: phishing-resistant authentication and Conditional Access (IA-2, AC-3), account lifecycle, separation of duties, and least privilege (AC-2, AC-5, AC-6), secure-configuration baselines mandated by CISA SCuBA and BOD 25-01 (CM-6), and data protection through Purview (AC-4, SC-28, AU-10, covered in depth in Vol III Book 05). Each obligation has a</w:t>
      </w:r>
      <w:r>
        <w:t xml:space="preserve"> </w:t>
      </w:r>
      <w:r>
        <w:rPr>
          <w:i/>
          <w:iCs/>
        </w:rPr>
        <w:t xml:space="preserve">tested state</w:t>
      </w:r>
      <w:r>
        <w:t xml:space="preserve"> </w:t>
      </w:r>
      <w:r>
        <w:t xml:space="preserve">and a</w:t>
      </w:r>
      <w:r>
        <w:t xml:space="preserve"> </w:t>
      </w:r>
      <w:r>
        <w:rPr>
          <w:i/>
          <w:iCs/>
        </w:rPr>
        <w:t xml:space="preserve">drift condition</w:t>
      </w:r>
      <w:r>
        <w:t xml:space="preserve">, and each drift condition needs an owner, a clock, and a closure record before an assessor will treat the control as operating.</w:t>
      </w:r>
    </w:p>
    <w:p>
      <w:pPr>
        <w:pStyle w:val="BodyText"/>
      </w:pPr>
      <w:r>
        <w:t xml:space="preserve">This book shows how M365 control state is turned into ServiceNow work without ServiceNow becoming the M365 admin console. The pattern is uniform across every control family:</w:t>
      </w:r>
      <w:r>
        <w:t xml:space="preserve"> </w:t>
      </w:r>
      <w:r>
        <w:rPr>
          <w:b/>
          <w:bCs/>
        </w:rPr>
        <w:t xml:space="preserve">detect drift on the native surface → raise a typed task against the reconciled CI → route to the owner → verify closure on the native surface → emit evidence.</w:t>
      </w:r>
    </w:p>
    <w:bookmarkEnd w:id="10"/>
    <w:bookmarkStart w:id="11" w:name="the-m365-compliance-loop"/>
    <w:p>
      <w:pPr>
        <w:pStyle w:val="Heading1"/>
      </w:pPr>
      <w:r>
        <w:t xml:space="preserve">2. The M365 Compliance Loop</w:t>
      </w:r>
    </w:p>
    <w:p>
      <w:pPr>
        <w:pStyle w:val="FirstParagraph"/>
      </w:pPr>
      <w:r>
        <w:t xml:space="preserve">Every M365 control family runs the same five-step loop. The surface differs; the loop does not.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happens</w:t>
            </w:r>
          </w:p>
        </w:tc>
        <w:tc>
          <w:tcPr/>
          <w:p>
            <w:pPr>
              <w:pStyle w:val="Compact"/>
            </w:pPr>
            <w:r>
              <w:t xml:space="preserve">Where it happens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1. Test</w:t>
            </w:r>
          </w:p>
        </w:tc>
        <w:tc>
          <w:tcPr/>
          <w:p>
            <w:pPr>
              <w:pStyle w:val="Compact"/>
            </w:pPr>
            <w:r>
              <w:t xml:space="preserve">The M365 control state is read — SCuBA/secure-baseline result, CA policy inventory, Purview label/DLP posture</w:t>
            </w:r>
          </w:p>
        </w:tc>
        <w:tc>
          <w:tcPr/>
          <w:p>
            <w:pPr>
              <w:pStyle w:val="Compact"/>
            </w:pPr>
            <w:r>
              <w:t xml:space="preserve">Native (Graph, SCuBA tooling, Purview) — in-boundary read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2. Detect drift</w:t>
            </w:r>
          </w:p>
        </w:tc>
        <w:tc>
          <w:tcPr/>
          <w:p>
            <w:pPr>
              <w:pStyle w:val="Compact"/>
            </w:pPr>
            <w:r>
              <w:t xml:space="preserve">Read state is compared to the intended baseline; a deviation is a candidate finding</w:t>
            </w:r>
          </w:p>
        </w:tc>
        <w:tc>
          <w:tcPr/>
          <w:p>
            <w:pPr>
              <w:pStyle w:val="Compact"/>
            </w:pPr>
            <w:r>
              <w:t xml:space="preserve">ServiceNow (or the native tool, ingested)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3. Raise</w:t>
            </w:r>
          </w:p>
        </w:tc>
        <w:tc>
          <w:tcPr/>
          <w:p>
            <w:pPr>
              <w:pStyle w:val="Compact"/>
            </w:pPr>
            <w:r>
              <w:t xml:space="preserve">A typed task (Incident / Change / Request) is created against the reconciled CI, with control id, severity, and SLA class</w:t>
            </w:r>
          </w:p>
        </w:tc>
        <w:tc>
          <w:tcPr/>
          <w:p>
            <w:pPr>
              <w:pStyle w:val="Compact"/>
            </w:pPr>
            <w:r>
              <w:t xml:space="preserve">ServiceNow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4. Actuate</w:t>
            </w:r>
          </w:p>
        </w:tc>
        <w:tc>
          <w:tcPr/>
          <w:p>
            <w:pPr>
              <w:pStyle w:val="Compact"/>
            </w:pPr>
            <w:r>
              <w:t xml:space="preserve">The owner makes the change on the</w:t>
            </w:r>
            <w:r>
              <w:t xml:space="preserve"> </w:t>
            </w:r>
            <w:r>
              <w:rPr>
                <w:b/>
                <w:bCs/>
              </w:rPr>
              <w:t xml:space="preserve">native</w:t>
            </w:r>
            <w:r>
              <w:t xml:space="preserve"> </w:t>
            </w:r>
            <w:r>
              <w:t xml:space="preserve">surface (Graph / CA / Purview); ServiceNow does not flip the setting</w:t>
            </w:r>
          </w:p>
        </w:tc>
        <w:tc>
          <w:tcPr/>
          <w:p>
            <w:pPr>
              <w:pStyle w:val="Compact"/>
            </w:pPr>
            <w:r>
              <w:t xml:space="preserve">Native — platform actuation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5. Close + evidence</w:t>
            </w:r>
          </w:p>
        </w:tc>
        <w:tc>
          <w:tcPr/>
          <w:p>
            <w:pPr>
              <w:pStyle w:val="Compact"/>
            </w:pPr>
            <w:r>
              <w:t xml:space="preserve">Re-test confirms closure; the task, approval trail, and re-test result become the evidence record</w:t>
            </w:r>
          </w:p>
        </w:tc>
        <w:tc>
          <w:tcPr/>
          <w:p>
            <w:pPr>
              <w:pStyle w:val="Compact"/>
            </w:pPr>
            <w:r>
              <w:t xml:space="preserve">ServiceNow → evidence pipeline</w:t>
            </w:r>
          </w:p>
        </w:tc>
      </w:tr>
    </w:tbl>
    <w:p>
      <w:pPr>
        <w:pStyle w:val="BodyText"/>
      </w:pPr>
      <w:r>
        <w:rPr>
          <w:b/>
          <w:bCs/>
        </w:rPr>
        <w:t xml:space="preserve">Why ServiceNow does not actuate M365 directly.</w:t>
      </w:r>
      <w:r>
        <w:t xml:space="preserve"> </w:t>
      </w:r>
      <w:r>
        <w:t xml:space="preserve">A workflow platform holding standing write authority over Conditional Access or tenant configuration is itself a privilege-escalation and blast-radius problem (AC-6). The coordination role needs</w:t>
      </w:r>
      <w:r>
        <w:t xml:space="preserve"> </w:t>
      </w:r>
      <w:r>
        <w:rPr>
          <w:i/>
          <w:iCs/>
        </w:rPr>
        <w:t xml:space="preserve">read</w:t>
      </w:r>
      <w:r>
        <w:t xml:space="preserve"> </w:t>
      </w:r>
      <w:r>
        <w:t xml:space="preserve">over control state and</w:t>
      </w:r>
      <w:r>
        <w:t xml:space="preserve"> </w:t>
      </w:r>
      <w:r>
        <w:rPr>
          <w:i/>
          <w:iCs/>
        </w:rPr>
        <w:t xml:space="preserve">task-creation</w:t>
      </w:r>
      <w:r>
        <w:t xml:space="preserve"> </w:t>
      </w:r>
      <w:r>
        <w:t xml:space="preserve">over its own tables — not admin over the estate it governs. Where an automated remediation is genuinely safe and reversible, it is invoked as a scoped, logged, individually-approved action, never as blanket standing access.</w:t>
      </w:r>
    </w:p>
    <w:bookmarkEnd w:id="11"/>
    <w:bookmarkStart w:id="12" w:name="Xd59c1c008437ffa45c977a0e200c15ee9bc7f21"/>
    <w:p>
      <w:pPr>
        <w:pStyle w:val="Heading1"/>
      </w:pPr>
      <w:r>
        <w:t xml:space="preserve">3. Control Family 1 — SCuBA / Secure-Configuration Baseline Drift (CM-6)</w:t>
      </w:r>
    </w:p>
    <w:p>
      <w:pPr>
        <w:pStyle w:val="FirstParagraph"/>
      </w:pPr>
      <w:r>
        <w:t xml:space="preserve">CISA SCuBA (operationalized under BOD 25-01) defines secure-configuration baselines for the M365 services. The conformance tooling (ScubaGear and equivalents)</w:t>
      </w:r>
      <w:r>
        <w:t xml:space="preserve"> </w:t>
      </w:r>
      <w:r>
        <w:rPr>
          <w:i/>
          <w:iCs/>
        </w:rPr>
        <w:t xml:space="preserve">measures</w:t>
      </w:r>
      <w:r>
        <w:t xml:space="preserve"> </w:t>
      </w:r>
      <w:r>
        <w:t xml:space="preserve">drift from those baselines; it does not, by itself, own the fix. That gap is exactly the coordination role.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Test:</w:t>
      </w:r>
      <w:r>
        <w:t xml:space="preserve"> </w:t>
      </w:r>
      <w:r>
        <w:t xml:space="preserve">the SCuBA/secure-baseline assessment runs on a schedule and produces a per-policy pass/fail result.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Detect + Raise:</w:t>
      </w:r>
      <w:r>
        <w:t xml:space="preserve"> </w:t>
      </w:r>
      <w:r>
        <w:t xml:space="preserve">each new fail becomes a ServiceNow</w:t>
      </w:r>
      <w:r>
        <w:t xml:space="preserve"> </w:t>
      </w:r>
      <w:r>
        <w:rPr>
          <w:b/>
          <w:bCs/>
        </w:rPr>
        <w:t xml:space="preserve">Change</w:t>
      </w:r>
      <w:r>
        <w:t xml:space="preserve"> </w:t>
      </w:r>
      <w:r>
        <w:t xml:space="preserve">(if it needs a controlled configuration change) or</w:t>
      </w:r>
      <w:r>
        <w:t xml:space="preserve"> </w:t>
      </w:r>
      <w:r>
        <w:rPr>
          <w:b/>
          <w:bCs/>
        </w:rPr>
        <w:t xml:space="preserve">Incident</w:t>
      </w:r>
      <w:r>
        <w:t xml:space="preserve"> </w:t>
      </w:r>
      <w:r>
        <w:t xml:space="preserve">(if it is an unexpected regression), tagged with the SCuBA policy id, the mapped NIST control (CM-6), a severity, and the reconciled service CI.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Actuate:</w:t>
      </w:r>
      <w:r>
        <w:t xml:space="preserve"> </w:t>
      </w:r>
      <w:r>
        <w:t xml:space="preserve">the owning team applies the baseline setting via the M365 admin surface / policy-as-code (Vol VI Book 06 carries the SCuBA-as-code baseline).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Close:</w:t>
      </w:r>
      <w:r>
        <w:t xml:space="preserve"> </w:t>
      </w:r>
      <w:r>
        <w:t xml:space="preserve">the next assessment pass flips the result to pass; ServiceNow closes the task and stamps the re-test evidence.</w:t>
      </w:r>
    </w:p>
    <w:p>
      <w:pPr>
        <w:pStyle w:val="FirstParagraph"/>
      </w:pPr>
      <w:r>
        <w:t xml:space="preserve">The SCuBA finding-to-task mapping is held as data (a control map), so the same finding always raises the same typed task with the same control binding — reproducible, not ad hoc.</w:t>
      </w:r>
    </w:p>
    <w:bookmarkEnd w:id="12"/>
    <w:bookmarkStart w:id="13" w:name="Xd9077e80266ee43768073f8edf886188065121c"/>
    <w:p>
      <w:pPr>
        <w:pStyle w:val="Heading1"/>
      </w:pPr>
      <w:r>
        <w:t xml:space="preserve">4. Control Family 2 — Account Lifecycle &amp; Conditional Access Exceptions (AC-2)</w:t>
      </w:r>
    </w:p>
    <w:p>
      <w:pPr>
        <w:pStyle w:val="FirstParagraph"/>
      </w:pPr>
      <w:r>
        <w:t xml:space="preserve">Identity is the M365 control surface with the most standing human work: joiner/mover/leaver events, privileged-role requests, and Conditional Access</w:t>
      </w:r>
      <w:r>
        <w:t xml:space="preserve"> </w:t>
      </w:r>
      <w:r>
        <w:rPr>
          <w:i/>
          <w:iCs/>
        </w:rPr>
        <w:t xml:space="preserve">exceptions</w:t>
      </w:r>
      <w:r>
        <w:t xml:space="preserve"> </w:t>
      </w:r>
      <w:r>
        <w:t xml:space="preserve">(the break-glass account, a temporary block on a legacy client, a scoped exclusion for a service). Each is an access decision that must be requested, approved, time-bound, and reviewed.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Request:</w:t>
      </w:r>
      <w:r>
        <w:t xml:space="preserve"> </w:t>
      </w:r>
      <w:r>
        <w:t xml:space="preserve">a JML or CA-exception request enters as a ServiceNow</w:t>
      </w:r>
      <w:r>
        <w:t xml:space="preserve"> </w:t>
      </w:r>
      <w:r>
        <w:rPr>
          <w:b/>
          <w:bCs/>
        </w:rPr>
        <w:t xml:space="preserve">Request</w:t>
      </w:r>
      <w:r>
        <w:t xml:space="preserve"> </w:t>
      </w:r>
      <w:r>
        <w:t xml:space="preserve">with the target identity CI, the justification, and a required expiry.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Approve:</w:t>
      </w:r>
      <w:r>
        <w:t xml:space="preserve"> </w:t>
      </w:r>
      <w:r>
        <w:t xml:space="preserve">the request routes through the approval chain; a CA-exception request additionally requires a security approver, because an exception weakens a blocking control.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Actuate:</w:t>
      </w:r>
      <w:r>
        <w:t xml:space="preserve"> </w:t>
      </w:r>
      <w:r>
        <w:t xml:space="preserve">on approval, the identity team applies the change to Entra via Graph (the account provisioned, the exclusion group membership set) — logged, scoped, and reversible.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Review:</w:t>
      </w:r>
      <w:r>
        <w:t xml:space="preserve"> </w:t>
      </w:r>
      <w:r>
        <w:t xml:space="preserve">every exception carries an expiry; ServiceNow drives the</w:t>
      </w:r>
      <w:r>
        <w:t xml:space="preserve"> </w:t>
      </w:r>
      <w:r>
        <w:rPr>
          <w:b/>
          <w:bCs/>
        </w:rPr>
        <w:t xml:space="preserve">access review</w:t>
      </w:r>
      <w:r>
        <w:t xml:space="preserve"> </w:t>
      </w:r>
      <w:r>
        <w:t xml:space="preserve">that re-attests or revokes it. An expired-but-still-present exclusion is a high-severity finding, not a quiet default.</w:t>
      </w:r>
    </w:p>
    <w:p>
      <w:pPr>
        <w:pStyle w:val="FirstParagraph"/>
      </w:pPr>
      <w:r>
        <w:t xml:space="preserve">This is the AC-2 / AC-5 / AC-6 lifecycle expressed as reviewable work: the break-glass exclusion mandated in every blocking CA policy (Vol VI Book 02) is</w:t>
      </w:r>
      <w:r>
        <w:t xml:space="preserve"> </w:t>
      </w:r>
      <w:r>
        <w:rPr>
          <w:i/>
          <w:iCs/>
        </w:rPr>
        <w:t xml:space="preserve">visible in the request record and its review</w:t>
      </w:r>
      <w:r>
        <w:t xml:space="preserve">, which a portal screenshot can never prove over time.</w:t>
      </w:r>
    </w:p>
    <w:bookmarkEnd w:id="13"/>
    <w:bookmarkStart w:id="14" w:name="Xb463a7d182820b6ee9d6aec6056f793964bf600"/>
    <w:p>
      <w:pPr>
        <w:pStyle w:val="Heading1"/>
      </w:pPr>
      <w:r>
        <w:t xml:space="preserve">5. Control Family 3 — Purview Data-Protection State (feeds AU-10 / SC-28)</w:t>
      </w:r>
    </w:p>
    <w:p>
      <w:pPr>
        <w:pStyle w:val="FirstParagraph"/>
      </w:pPr>
      <w:r>
        <w:t xml:space="preserve">Purview owns the M365 data-protection controls in depth (Vol III Book 05): sensitivity labels, DLP policy, and the audit trail behind AU-10 and SC-28. The coordination role here is narrower — Purview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actuation and evidence engine — but two workflows still belong in ServiceNow: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DLP-override and mass-label-change review.</w:t>
      </w:r>
      <w:r>
        <w:t xml:space="preserve"> </w:t>
      </w:r>
      <w:r>
        <w:t xml:space="preserve">A user override of a DLP block, or a mass label-removal/decrypt event, is a Vol III Book 05 detection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a ServiceNow Incident with a review task — the human-judgment step the detection cannot make.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Label/DLP policy change control.</w:t>
      </w:r>
      <w:r>
        <w:t xml:space="preserve"> </w:t>
      </w:r>
      <w:r>
        <w:t xml:space="preserve">A change to the label taxonomy or a DLP rule is a compliance-affecting change; it carries a ServiceNow Change record (CM-3) so the data-protection posture has an approval trail, not a silent edit.</w:t>
      </w:r>
    </w:p>
    <w:p>
      <w:pPr>
        <w:pStyle w:val="FirstParagraph"/>
      </w:pPr>
      <w:r>
        <w:t xml:space="preserve">Purview state (label coverage, DLP policy version, audit-retention configuration) is ingested as attestation input feeding CA-7, so the data-protection control shows as</w:t>
      </w:r>
      <w:r>
        <w:t xml:space="preserve"> </w:t>
      </w:r>
      <w:r>
        <w:rPr>
          <w:i/>
          <w:iCs/>
        </w:rPr>
        <w:t xml:space="preserve">operating with evidence</w:t>
      </w:r>
      <w:r>
        <w:t xml:space="preserve">, not merely</w:t>
      </w:r>
      <w:r>
        <w:t xml:space="preserve"> </w:t>
      </w:r>
      <w:r>
        <w:rPr>
          <w:i/>
          <w:iCs/>
        </w:rPr>
        <w:t xml:space="preserve">configured</w:t>
      </w:r>
      <w:r>
        <w:t xml:space="preserve">.</w:t>
      </w:r>
    </w:p>
    <w:bookmarkEnd w:id="14"/>
    <w:bookmarkStart w:id="15" w:name="continuous-monitoring-roll-up-ca-7"/>
    <w:p>
      <w:pPr>
        <w:pStyle w:val="Heading1"/>
      </w:pPr>
      <w:r>
        <w:t xml:space="preserve">6. Continuous Monitoring Roll-Up (CA-7)</w:t>
      </w:r>
    </w:p>
    <w:p>
      <w:pPr>
        <w:pStyle w:val="FirstParagraph"/>
      </w:pPr>
      <w:r>
        <w:t xml:space="preserve">Each loop above emits its result — the SCuBA pass/fail, the exception review outcome, the Purview posture read — into the continuous-monitoring feed. ServiceNow rolls these into a per-control M365 posture that Vol VII Book 04 turns into attestation and KSI evidence. The point of the roll-up is that CA-7 is satisfied by</w:t>
      </w:r>
      <w:r>
        <w:t xml:space="preserve"> </w:t>
      </w:r>
      <w:r>
        <w:rPr>
          <w:i/>
          <w:iCs/>
        </w:rPr>
        <w:t xml:space="preserve">actioned</w:t>
      </w:r>
      <w:r>
        <w:t xml:space="preserve"> </w:t>
      </w:r>
      <w:r>
        <w:t xml:space="preserve">monitoring: drift that becomes a task that becomes closure that becomes evidence, not a dashboard nobody works.</w:t>
      </w:r>
    </w:p>
    <w:bookmarkEnd w:id="15"/>
    <w:bookmarkStart w:id="17" w:name="closure-necessity"/>
    <w:p>
      <w:pPr>
        <w:pStyle w:val="Heading1"/>
      </w:pPr>
      <w:r>
        <w:t xml:space="preserve">7. Closure Necessity</w:t>
      </w:r>
    </w:p>
    <w:bookmarkStart w:id="16" w:name="Xe25f89d1ed301c5519f45eac8c775d117f6d69f"/>
    <w:p>
      <w:pPr>
        <w:pStyle w:val="Heading2"/>
      </w:pPr>
      <w:r>
        <w:t xml:space="preserve">7.1 Closure Necessity — SCuBA measures the gap; someone must own the close</w:t>
      </w:r>
    </w:p>
    <w:p>
      <w:pPr>
        <w:pStyle w:val="FirstParagraph"/>
      </w:pPr>
      <w:r>
        <w:t xml:space="preserve">The conformance tooling (ScubaGear and equivalents) proves</w:t>
      </w:r>
      <w:r>
        <w:t xml:space="preserve"> </w:t>
      </w:r>
      <w:r>
        <w:rPr>
          <w:i/>
          <w:iCs/>
        </w:rPr>
        <w:t xml:space="preserve">where</w:t>
      </w:r>
      <w:r>
        <w:t xml:space="preserve"> </w:t>
      </w:r>
      <w:r>
        <w:t xml:space="preserve">M365 deviates from the secure baseline — it authors no fix and owns no clock. The architecture and Vol VI baseline-as-code establish the mechanism; its sufficiency is what the Vol VI Book 08 validation harness demonstrates. This book is what makes M365 closure</w:t>
      </w:r>
      <w:r>
        <w:t xml:space="preserve"> </w:t>
      </w:r>
      <w:r>
        <w:rPr>
          <w:i/>
          <w:iCs/>
        </w:rPr>
        <w:t xml:space="preserve">operating</w:t>
      </w:r>
      <w:r>
        <w:t xml:space="preserve">: every deviation gets an owner, an SLA, an approval trail, and a re-tested evidence record. Remove it and SCuBA becomes a report that is read and not acted on — the exact conformance-tooling coverage gap the series names (Theme E), one surface at a time.</w:t>
      </w:r>
    </w:p>
    <w:bookmarkEnd w:id="16"/>
    <w:bookmarkEnd w:id="17"/>
    <w:bookmarkStart w:id="18" w:name="Xebd9fbc0874ac437cee95afe649484f9b290fc1"/>
    <w:p>
      <w:pPr>
        <w:pStyle w:val="Heading1"/>
      </w:pPr>
      <w:r>
        <w:t xml:space="preserve">8. NIST SP 800-53 Rev 5 Control Closure — Authorities Closed Here</w:t>
      </w:r>
    </w:p>
    <w:p>
      <w:pPr>
        <w:pStyle w:val="FirstParagraph"/>
      </w:pPr>
      <w:r>
        <w:t xml:space="preserve">Generated from the series compliance spine (</w:t>
      </w:r>
      <w:r>
        <w:rPr>
          <w:rStyle w:val="VerbatimChar"/>
        </w:rPr>
        <w:t xml:space="preserve">federal-compliance-compliance-spine.yml</w:t>
      </w:r>
      <w:r>
        <w:t xml:space="preserve">) by</w:t>
      </w:r>
      <w:r>
        <w:t xml:space="preserve"> </w:t>
      </w:r>
      <w:r>
        <w:rPr>
          <w:rStyle w:val="VerbatimChar"/>
        </w:rPr>
        <w:t xml:space="preserve">render_authorities_table.py</w:t>
      </w:r>
      <w:r>
        <w:t xml:space="preserve">; not hand-edited here. These are</w:t>
      </w:r>
      <w:r>
        <w:t xml:space="preserve"> </w:t>
      </w:r>
      <w:r>
        <w:rPr>
          <w:i/>
          <w:iCs/>
        </w:rPr>
        <w:t xml:space="preserve">coordination</w:t>
      </w:r>
      <w:r>
        <w:t xml:space="preserve"> </w:t>
      </w:r>
      <w:r>
        <w:t xml:space="preserve">closures — the M365 control state operated as tracked work — not a re-closure of the identity/data mechanisms Volumes I, III, and VI already own.</w:t>
      </w:r>
    </w:p>
    <w:p>
      <w:pPr>
        <w:pStyle w:val="TableCaption"/>
      </w:pPr>
      <w:r>
        <w:t xml:space="preserve">Authorities Closed Here — M365 Federal Control Compliance Automation († = Closure-Necessity anchor: no alternate closure path)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Authorities Closed Here — M365 Federal Control Compliance Automation († = Closure-Necessity anchor: no alternate closure path)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Closing mechanism (function, not product)</w:t>
            </w:r>
          </w:p>
        </w:tc>
        <w:tc>
          <w:tcPr/>
          <w:p>
            <w:pPr>
              <w:pStyle w:val="Compact"/>
            </w:pPr>
            <w:r>
              <w:t xml:space="preserve">Accreditation gate</w:t>
            </w:r>
          </w:p>
        </w:tc>
        <w:tc>
          <w:tcPr/>
          <w:p>
            <w:pPr>
              <w:pStyle w:val="Compact"/>
            </w:pPr>
            <w:r>
              <w:t xml:space="preserve">Authority drivers</w:t>
            </w:r>
          </w:p>
        </w:tc>
        <w:tc>
          <w:tcPr/>
          <w:p>
            <w:pPr>
              <w:pStyle w:val="Compact"/>
            </w:pPr>
            <w:r>
              <w:t xml:space="preserve">Evidence slot</w:t>
            </w:r>
          </w:p>
        </w:tc>
        <w:tc>
          <w:tcPr/>
          <w:p>
            <w:pPr>
              <w:pStyle w:val="Compact"/>
            </w:pPr>
            <w:r>
              <w:t xml:space="preserve">FedRAMP 20x KSI</w:t>
            </w:r>
          </w:p>
        </w:tc>
        <w:tc>
          <w:tcPr/>
          <w:p>
            <w:pPr>
              <w:pStyle w:val="Compact"/>
            </w:pPr>
            <w:r>
              <w:t xml:space="preserve">Tool-attestable?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AC-2</w:t>
            </w:r>
          </w:p>
        </w:tc>
        <w:tc>
          <w:tcPr/>
          <w:p>
            <w:pPr>
              <w:pStyle w:val="Compact"/>
            </w:pPr>
            <w:r>
              <w:t xml:space="preserve">Account Management</w:t>
            </w:r>
          </w:p>
        </w:tc>
        <w:tc>
          <w:tcPr/>
          <w:p>
            <w:pPr>
              <w:pStyle w:val="Compact"/>
            </w:pPr>
            <w:r>
              <w:t xml:space="preserve">Joiner/mover/leaver and Conditional-Access exception requests raised, approved, and access-reviewed as ServiceNow tasks over the Entra estate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OMB M-22-09</w:t>
            </w:r>
          </w:p>
        </w:tc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CA-7</w:t>
            </w:r>
          </w:p>
        </w:tc>
        <w:tc>
          <w:tcPr/>
          <w:p>
            <w:pPr>
              <w:pStyle w:val="Compact"/>
            </w:pPr>
            <w:r>
              <w:t xml:space="preserve">Continuous Monitoring</w:t>
            </w:r>
          </w:p>
        </w:tc>
        <w:tc>
          <w:tcPr/>
          <w:p>
            <w:pPr>
              <w:pStyle w:val="Compact"/>
            </w:pPr>
            <w:r>
              <w:t xml:space="preserve">M365 control-test results (Graph, SCuBA, Purview) ingested as attestation tasks feeding the KSI evidence pipeline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NIST SP 800-137; FedRAMP 20x KSIs</w:t>
            </w:r>
          </w:p>
        </w:tc>
        <w:tc>
          <w:tcPr/>
          <w:p>
            <w:pPr>
              <w:pStyle w:val="Compact"/>
            </w:pPr>
            <w:r>
              <w:t xml:space="preserve">Telemetry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CM-6</w:t>
            </w:r>
          </w:p>
        </w:tc>
        <w:tc>
          <w:tcPr/>
          <w:p>
            <w:pPr>
              <w:pStyle w:val="Compact"/>
            </w:pPr>
            <w:r>
              <w:t xml:space="preserve">Configuration Settings</w:t>
            </w:r>
          </w:p>
        </w:tc>
        <w:tc>
          <w:tcPr/>
          <w:p>
            <w:pPr>
              <w:pStyle w:val="Compact"/>
            </w:pPr>
            <w:r>
              <w:t xml:space="preserve">SCuBA / secure-baseline drift on the M365 SaaS surface raised as a ServiceNow Incident/Change task and tracked to closure (actuation stays platform-native)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CISA SCuBA; CISA BOD 25-01</w:t>
            </w:r>
          </w:p>
        </w:tc>
        <w:tc>
          <w:tcPr/>
          <w:p>
            <w:pPr>
              <w:pStyle w:val="Compact"/>
            </w:pPr>
            <w:r>
              <w:t xml:space="preserve">Security / supply chain</w:t>
            </w:r>
          </w:p>
        </w:tc>
        <w:tc>
          <w:tcPr/>
          <w:p>
            <w:pPr>
              <w:pStyle w:val="Compact"/>
            </w:pPr>
            <w:r>
              <w:t xml:space="preserve">KSI-CMT, KSI-SVC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bookmarkEnd w:id="18"/>
    <w:bookmarkStart w:id="19" w:name="honest-limits"/>
    <w:p>
      <w:pPr>
        <w:pStyle w:val="Heading1"/>
      </w:pPr>
      <w:r>
        <w:t xml:space="preserve">9. Honest Limits</w:t>
      </w:r>
    </w:p>
    <w:p>
      <w:pPr>
        <w:pStyle w:val="Compact"/>
        <w:numPr>
          <w:ilvl w:val="0"/>
          <w:numId w:val="1004"/>
        </w:numPr>
      </w:pPr>
      <w:r>
        <w:t xml:space="preserve">A ServiceNow task closes when the native re-test passes — so the loop is only as trustworthy as the test. A SCuBA check that does not cover a setting leaves a blind spot ServiceNow cannot see; test coverage is a Vol VI Book 08 concern.</w:t>
      </w:r>
    </w:p>
    <w:p>
      <w:pPr>
        <w:pStyle w:val="Compact"/>
        <w:numPr>
          <w:ilvl w:val="0"/>
          <w:numId w:val="1004"/>
        </w:numPr>
      </w:pPr>
      <w:r>
        <w:t xml:space="preserve">Automated remediation on the M365 surface is used sparingly and always scoped and logged; the default is human-actuated change with an approval trail, because standing write authority over Conditional Access is a control weakness in itself.</w:t>
      </w:r>
    </w:p>
    <w:p>
      <w:pPr>
        <w:pStyle w:val="Compact"/>
        <w:numPr>
          <w:ilvl w:val="0"/>
          <w:numId w:val="1004"/>
        </w:numPr>
      </w:pPr>
      <w:r>
        <w:t xml:space="preserve">Purview is the data-protection actuation and evidence engine; ServiceNow coordinates the human-judgment and change-control steps around it, not the classification itself.</w:t>
      </w:r>
    </w:p>
    <w:bookmarkEnd w:id="19"/>
    <w:bookmarkStart w:id="20" w:name="cross-references"/>
    <w:p>
      <w:pPr>
        <w:pStyle w:val="Heading1"/>
      </w:pPr>
      <w:r>
        <w:t xml:space="preserve">10. Cross-References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Vol VI Book 02 (Identity &amp; Access as Code)</w:t>
      </w:r>
      <w:r>
        <w:t xml:space="preserve"> </w:t>
      </w:r>
      <w:r>
        <w:t xml:space="preserve">— the Conditional Access / PIM policy this book governs the exceptions and reviews for.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Vol VI Book 06 (Configuration Baselines &amp; Hardening)</w:t>
      </w:r>
      <w:r>
        <w:t xml:space="preserve"> </w:t>
      </w:r>
      <w:r>
        <w:t xml:space="preserve">— the SCuBA-as-code baseline whose drift this book routes.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Vol III Book 05 (Data Protection — Purview)</w:t>
      </w:r>
      <w:r>
        <w:t xml:space="preserve"> </w:t>
      </w:r>
      <w:r>
        <w:t xml:space="preserve">— the data-protection controls this book coordinates the review and change-control steps for.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Vol VII Book 01</w:t>
      </w:r>
      <w:r>
        <w:t xml:space="preserve"> </w:t>
      </w:r>
      <w:r>
        <w:t xml:space="preserve">— the reconciled CIs every M365 task is raised against.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Vol VII Book 04</w:t>
      </w:r>
      <w:r>
        <w:t xml:space="preserve"> </w:t>
      </w:r>
      <w:r>
        <w:t xml:space="preserve">— where the M365 posture roll-up becomes attestation and KSI evidence.</w:t>
      </w:r>
    </w:p>
    <w:bookmarkEnd w:id="20"/>
    <w:bookmarkStart w:id="22" w:name="provenance"/>
    <w:p>
      <w:pPr>
        <w:pStyle w:val="Heading1"/>
      </w:pPr>
      <w:r>
        <w:t xml:space="preserve">11. Provenance</w:t>
      </w:r>
    </w:p>
    <w:p>
      <w:pPr>
        <w:pStyle w:val="FirstParagraph"/>
      </w:pPr>
      <w:r>
        <w:t xml:space="preserve">Draft. Microsoft 365, Graph, SCuBA/ScubaGear, and Purview are deployed examples; the detect→raise→actuate-native→close→evidence loop is the invariant. Vendor claims cite vendor documentation (see References) and are dated, not permanent — see the</w:t>
      </w:r>
      <w:r>
        <w:t xml:space="preserve"> </w:t>
      </w:r>
      <w:hyperlink r:id="rId21">
        <w:r>
          <w:rPr>
            <w:rStyle w:val="Hyperlink"/>
          </w:rPr>
          <w:t xml:space="preserve">Vendor Currency Doctrine</w:t>
        </w:r>
      </w:hyperlink>
      <w:r>
        <w:t xml:space="preserve">. The compliance-loop figure is authored as committed house-style SVG; further per-book figures follow in the PPTX→DOCX sync pass.</w:t>
      </w:r>
    </w:p>
    <w:bookmarkEnd w:id="22"/>
    <w:bookmarkStart w:id="27" w:name="references"/>
    <w:p>
      <w:pPr>
        <w:pStyle w:val="Heading1"/>
      </w:pPr>
      <w:r>
        <w:t xml:space="preserve">12. References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Claim</w:t>
            </w:r>
          </w:p>
        </w:tc>
        <w:tc>
          <w:tcPr/>
          <w:p>
            <w:pPr>
              <w:pStyle w:val="Compact"/>
            </w:pPr>
            <w:r>
              <w:t xml:space="preserve">Source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SCuBA secure-configuration baselines for M365 (BOD 25-01)</w:t>
            </w:r>
          </w:p>
        </w:tc>
        <w:tc>
          <w:tcPr/>
          <w:p>
            <w:pPr>
              <w:pStyle w:val="Compact"/>
            </w:pPr>
            <w:r>
              <w:t xml:space="preserve">CISA SCuBA —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https://www.cisa.gov/scuba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Microsoft 365 secure-configuration assessment (ScubaGear)</w:t>
            </w:r>
          </w:p>
        </w:tc>
        <w:tc>
          <w:tcPr/>
          <w:p>
            <w:pPr>
              <w:pStyle w:val="Compact"/>
            </w:pPr>
            <w:hyperlink r:id="rId24">
              <w:r>
                <w:rPr>
                  <w:rStyle w:val="Hyperlink"/>
                </w:rPr>
                <w:t xml:space="preserve">https://github.com/cisagov/ScubaGear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Conditional Access &amp; Entra account management via Graph</w:t>
            </w:r>
          </w:p>
        </w:tc>
        <w:tc>
          <w:tcPr/>
          <w:p>
            <w:pPr>
              <w:pStyle w:val="Compact"/>
            </w:pPr>
            <w:r>
              <w:t xml:space="preserve">Microsoft Learn —</w:t>
            </w:r>
            <w:r>
              <w:t xml:space="preserve"> </w:t>
            </w:r>
            <w:hyperlink r:id="rId25">
              <w:r>
                <w:rPr>
                  <w:rStyle w:val="Hyperlink"/>
                </w:rPr>
                <w:t xml:space="preserve">https://learn.microsoft.com/graph/api/resources/conditionalaccesspolicy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Purview data-protection (labels, DLP, audit)</w:t>
            </w:r>
          </w:p>
        </w:tc>
        <w:tc>
          <w:tcPr/>
          <w:p>
            <w:pPr>
              <w:pStyle w:val="Compact"/>
            </w:pPr>
            <w:r>
              <w:t xml:space="preserve">Microsoft Learn —</w:t>
            </w:r>
            <w:r>
              <w:t xml:space="preserve"> </w:t>
            </w:r>
            <w:hyperlink r:id="rId26">
              <w:r>
                <w:rPr>
                  <w:rStyle w:val="Hyperlink"/>
                </w:rPr>
                <w:t xml:space="preserve">https://learn.microsoft.com/purview/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ServiceNow as workflow/CMDB/evidence coordination hub</w:t>
            </w:r>
          </w:p>
        </w:tc>
        <w:tc>
          <w:tcPr/>
          <w:p>
            <w:pPr>
              <w:pStyle w:val="Compact"/>
            </w:pPr>
            <w:r>
              <w:t xml:space="preserve">Expansion Plan §16 —</w:t>
            </w:r>
            <w:r>
              <w:t xml:space="preserve"> </w:t>
            </w:r>
            <w:r>
              <w:rPr>
                <w:rStyle w:val="VerbatimChar"/>
              </w:rPr>
              <w:t xml:space="preserve">docs/customer-documents/federal-compliance-series/Compliance_Series_Expansion_Plan_Substrate_Accreditation.md</w:t>
            </w:r>
          </w:p>
        </w:tc>
      </w:tr>
    </w:tbl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Vol_0_Book_00_Executive_Summary.md#vendor-currency" TargetMode="External" /><Relationship Type="http://schemas.openxmlformats.org/officeDocument/2006/relationships/hyperlink" Id="rId24" Target="https://github.com/cisagov/ScubaGear" TargetMode="External" /><Relationship Type="http://schemas.openxmlformats.org/officeDocument/2006/relationships/hyperlink" Id="rId25" Target="https://learn.microsoft.com/graph/api/resources/conditionalaccesspolicy" TargetMode="External" /><Relationship Type="http://schemas.openxmlformats.org/officeDocument/2006/relationships/hyperlink" Id="rId26" Target="https://learn.microsoft.com/purview/" TargetMode="External" /><Relationship Type="http://schemas.openxmlformats.org/officeDocument/2006/relationships/hyperlink" Id="rId23" Target="https://www.cisa.gov/scub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Vol_0_Book_00_Executive_Summary.md#vendor-currency" TargetMode="External" /><Relationship Type="http://schemas.openxmlformats.org/officeDocument/2006/relationships/hyperlink" Id="rId24" Target="https://github.com/cisagov/ScubaGear" TargetMode="External" /><Relationship Type="http://schemas.openxmlformats.org/officeDocument/2006/relationships/hyperlink" Id="rId25" Target="https://learn.microsoft.com/graph/api/resources/conditionalaccesspolicy" TargetMode="External" /><Relationship Type="http://schemas.openxmlformats.org/officeDocument/2006/relationships/hyperlink" Id="rId26" Target="https://learn.microsoft.com/purview/" TargetMode="External" /><Relationship Type="http://schemas.openxmlformats.org/officeDocument/2006/relationships/hyperlink" Id="rId23" Target="https://www.cisa.gov/scub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VII Book 02 — Federal Compliance — M365 Federal Control Compliance Automation</dc:title>
  <dc:creator>Federal Cloud Services</dc:creator>
  <cp:keywords/>
  <dcterms:created xsi:type="dcterms:W3CDTF">2026-10-19T10:10:17Z</dcterms:created>
  <dcterms:modified xsi:type="dcterms:W3CDTF">2026-10-19T10:10:17Z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2026-07-12 19:00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SCuBA baseline drift, Conditional Access exceptions, and Purview data-protection state, operated as ServiceNow work</vt:lpwstr>
  </property>
  <property fmtid="{D5CDD505-2E9C-101B-9397-08002B2CF9AE}" pid="16" name="toc-title">
    <vt:lpwstr>Table of contents</vt:lpwstr>
  </property>
</Properties>
</file>