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VII Book 03 — Federal Compliance — Azure Federal Control Compliance Automation</w:t>
      </w:r>
    </w:p>
    <w:p>
      <w:pPr>
        <w:pStyle w:val="Subtitle"/>
      </w:pPr>
      <w:r>
        <w:t xml:space="preserve">Azure Policy, Defender for Cloud, and Update Manager control state, operated as ServiceNow work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2026-07-28 12:45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2026-07-28 08:45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VII Book 03. The Azure half of the coordination layer. Azure is the IaaS/PaaS control plane — resource configuration (Azure Policy), security posture (Defender for Cloud / MDVM), and flaw remediation (Update Manager, with Arc for hybrid reach). This book operates that surface’s control state as ServiceNow work, on the identical loop as the M365 book.</w:t>
      </w:r>
      <w:r>
        <w:t xml:space="preserve"> </w:t>
      </w:r>
      <w:r>
        <w:rPr>
          <w:b/>
          <w:bCs/>
        </w:rPr>
        <w:t xml:space="preserve">Actuation stays platform-native</w:t>
      </w:r>
      <w:r>
        <w:t xml:space="preserve"> </w:t>
      </w:r>
      <w:r>
        <w:t xml:space="preserve">— Azure Policy remediation tasks, Defender recommendations, and Update Manager runs make the change; ServiceNow governs ownership, SLA, approval, and evidence.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Where M365 is a SaaS boundary the agency configures but does not host, Azure is a boundary the agency both configures and populates with its own workloads — so it carries the resource-configuration, vulnerability, and patch obligations directly: baseline configuration and settings (CM-2, CM-6), flaw remediation (SI-2), and vulnerability monitoring (RA-5). Azure’s native stack</w:t>
      </w:r>
      <w:r>
        <w:t xml:space="preserve"> </w:t>
      </w:r>
      <w:r>
        <w:rPr>
          <w:i/>
          <w:iCs/>
        </w:rPr>
        <w:t xml:space="preserve">actuates</w:t>
      </w:r>
      <w:r>
        <w:t xml:space="preserve"> </w:t>
      </w:r>
      <w:r>
        <w:t xml:space="preserve">all three; the coordination role is to make each one owned, clocked, approved where it changes state, and evidenced. CM-2’s registered closure sits in Vol III Book 03 (Patch &amp; Systems Management); this book touches CM-2 only through Azure Policy’s actuation of that baseline, so its</w:t>
      </w:r>
      <w:r>
        <w:t xml:space="preserve"> </w:t>
      </w:r>
      <w:r>
        <w:rPr>
          <w:i/>
          <w:iCs/>
        </w:rPr>
        <w:t xml:space="preserve">Authorities Closed Here</w:t>
      </w:r>
      <w:r>
        <w:t xml:space="preserve"> </w:t>
      </w:r>
      <w:r>
        <w:t xml:space="preserve">table registers the coordination closures CM-6, SI-2, and RA-5.</w:t>
      </w:r>
    </w:p>
    <w:p>
      <w:pPr>
        <w:pStyle w:val="BodyText"/>
      </w:pPr>
      <w:r>
        <w:t xml:space="preserve">This book runs the same five-step loop as Vol VII Book 02 —</w:t>
      </w:r>
      <w:r>
        <w:t xml:space="preserve"> </w:t>
      </w:r>
      <w:r>
        <w:rPr>
          <w:b/>
          <w:bCs/>
        </w:rPr>
        <w:t xml:space="preserve">test → detect drift → raise a typed task against the reconciled CI → actuate on the native surface → close with evidence</w:t>
      </w:r>
      <w:r>
        <w:t xml:space="preserve"> </w:t>
      </w:r>
      <w:r>
        <w:t xml:space="preserve">— over the three Azure control engines. The loop is deliberately identical across surfaces: one coordination pattern, two clouds, so the evidence and the assessor-facing story are uniform.</w:t>
      </w:r>
    </w:p>
    <w:bookmarkEnd w:id="10"/>
    <w:bookmarkStart w:id="11" w:name="X7ae10599ea33c9f2d7f552f36e2b2552d6cf817"/>
    <w:p>
      <w:pPr>
        <w:pStyle w:val="Heading1"/>
      </w:pPr>
      <w:r>
        <w:t xml:space="preserve">2. The Azure Control Engines and Their Coordination Role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Azure engine</w:t>
            </w:r>
          </w:p>
        </w:tc>
        <w:tc>
          <w:tcPr/>
          <w:p>
            <w:pPr>
              <w:pStyle w:val="Compact"/>
            </w:pPr>
            <w:r>
              <w:t xml:space="preserve">Owns (actuation)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ServiceNow coordination role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Azure Policy</w:t>
            </w:r>
          </w:p>
        </w:tc>
        <w:tc>
          <w:tcPr/>
          <w:p>
            <w:pPr>
              <w:pStyle w:val="Compact"/>
            </w:pPr>
            <w:r>
              <w:t xml:space="preserve">Resource configuration compliance; deployIfNotExists/modify remediation</w:t>
            </w:r>
          </w:p>
        </w:tc>
        <w:tc>
          <w:tcPr/>
          <w:p>
            <w:pPr>
              <w:pStyle w:val="Compact"/>
            </w:pPr>
            <w:r>
              <w:t xml:space="preserve">CM-2, CM-6</w:t>
            </w:r>
          </w:p>
        </w:tc>
        <w:tc>
          <w:tcPr/>
          <w:p>
            <w:pPr>
              <w:pStyle w:val="Compact"/>
            </w:pPr>
            <w:r>
              <w:t xml:space="preserve">Non-compliant resource → Change/remediation task against the CI; track native remediation to closure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Defender for Cloud / MDVM</w:t>
            </w:r>
          </w:p>
        </w:tc>
        <w:tc>
          <w:tcPr/>
          <w:p>
            <w:pPr>
              <w:pStyle w:val="Compact"/>
            </w:pPr>
            <w:r>
              <w:t xml:space="preserve">Posture recommendations; workload &amp; image vulnerability findings</w:t>
            </w:r>
          </w:p>
        </w:tc>
        <w:tc>
          <w:tcPr/>
          <w:p>
            <w:pPr>
              <w:pStyle w:val="Compact"/>
            </w:pPr>
            <w:r>
              <w:t xml:space="preserve">CM-6, RA-5</w:t>
            </w:r>
          </w:p>
        </w:tc>
        <w:tc>
          <w:tcPr/>
          <w:p>
            <w:pPr>
              <w:pStyle w:val="Compact"/>
            </w:pPr>
            <w:r>
              <w:t xml:space="preserve">Recommendation/finding → prioritized Vulnerability-Response task; SLA by exposure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Update Manager (+ Arc)</w:t>
            </w:r>
          </w:p>
        </w:tc>
        <w:tc>
          <w:tcPr/>
          <w:p>
            <w:pPr>
              <w:pStyle w:val="Compact"/>
            </w:pPr>
            <w:r>
              <w:t xml:space="preserve">Guest-OS patch assessment and deployment</w:t>
            </w:r>
          </w:p>
        </w:tc>
        <w:tc>
          <w:tcPr/>
          <w:p>
            <w:pPr>
              <w:pStyle w:val="Compact"/>
            </w:pPr>
            <w:r>
              <w:t xml:space="preserve">SI-2, SI-2(2/3)</w:t>
            </w:r>
          </w:p>
        </w:tc>
        <w:tc>
          <w:tcPr/>
          <w:p>
            <w:pPr>
              <w:pStyle w:val="Compact"/>
            </w:pPr>
            <w:r>
              <w:t xml:space="preserve">Patch result → Change/Incident; SLA-class task keyed to KEV/exposure</w:t>
            </w:r>
          </w:p>
        </w:tc>
      </w:tr>
    </w:tbl>
    <w:p>
      <w:pPr>
        <w:pStyle w:val="BodyText"/>
      </w:pPr>
      <w:r>
        <w:rPr>
          <w:b/>
          <w:bCs/>
        </w:rPr>
        <w:t xml:space="preserve">Arc is bounded, by doctrine — and this volume’s scope is Azure + Arc-for-hybrid.</w:t>
      </w:r>
      <w:r>
        <w:t xml:space="preserve"> </w:t>
      </w:r>
      <w:r>
        <w:t xml:space="preserve">Azure Arc extends Update Manager and policy to hybrid Windows/Linux</w:t>
      </w:r>
      <w:r>
        <w:t xml:space="preserve"> </w:t>
      </w:r>
      <w:r>
        <w:rPr>
          <w:i/>
          <w:iCs/>
        </w:rPr>
        <w:t xml:space="preserve">guest OS</w:t>
      </w:r>
      <w:r>
        <w:t xml:space="preserve"> </w:t>
      </w:r>
      <w:r>
        <w:t xml:space="preserve">inside the GCC Moderate boundary; it does not patch ESXi, firmware, or a managed database service (Management-Plane Coordination Doctrine, Vol 0 Book 00). This volume coordinates the Azure and Arc-managed-hybrid surface only.</w:t>
      </w:r>
      <w:r>
        <w:t xml:space="preserve"> </w:t>
      </w:r>
      <w:r>
        <w:rPr>
          <w:b/>
          <w:bCs/>
        </w:rPr>
        <w:t xml:space="preserve">AWS’s own engines are covered in Vol VII Book 06, VMware’s in Vol VII Book 07; OCI reconciles into the same ServiceNow SI-2 queue in a later follow-up</w:t>
      </w:r>
      <w:r>
        <w:t xml:space="preserve"> </w:t>
      </w:r>
      <w:r>
        <w:t xml:space="preserve">(its native stack is catalogued in Vol III Book 03); ServiceNow already coordinates a single queue, so adding that surface later needs no rework here.</w:t>
      </w:r>
    </w:p>
    <w:bookmarkEnd w:id="11"/>
    <w:bookmarkStart w:id="12" w:name="control-engine-1-azure-policy-cm-2-cm-6"/>
    <w:p>
      <w:pPr>
        <w:pStyle w:val="Heading1"/>
      </w:pPr>
      <w:r>
        <w:t xml:space="preserve">3. Control Engine 1 — Azure Policy (CM-2 / CM-6)</w:t>
      </w:r>
    </w:p>
    <w:p>
      <w:pPr>
        <w:pStyle w:val="FirstParagraph"/>
      </w:pPr>
      <w:r>
        <w:t xml:space="preserve">Azure Policy continuously evaluates resource configuration against assigned definitions and can remediate a subset natively (deployIfNotExists / modify). The coordination role covers the rest — and the change control around all of 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Test:</w:t>
      </w:r>
      <w:r>
        <w:t xml:space="preserve"> </w:t>
      </w:r>
      <w:r>
        <w:t xml:space="preserve">policy compliance state is read per assignment/resource (compliant / non-compliant / exempt).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Detect + Raise:</w:t>
      </w:r>
      <w:r>
        <w:t xml:space="preserve"> </w:t>
      </w:r>
      <w:r>
        <w:t xml:space="preserve">a non-compliant resource becomes a ServiceNow</w:t>
      </w:r>
      <w:r>
        <w:t xml:space="preserve"> </w:t>
      </w:r>
      <w:r>
        <w:rPr>
          <w:b/>
          <w:bCs/>
        </w:rPr>
        <w:t xml:space="preserve">Change</w:t>
      </w:r>
      <w:r>
        <w:t xml:space="preserve"> </w:t>
      </w:r>
      <w:r>
        <w:t xml:space="preserve">(for a controlled configuration change) tagged with the policy definition, the mapped control (CM-2/CM-6), severity, and the reconciled resource CI. An</w:t>
      </w:r>
      <w:r>
        <w:t xml:space="preserve"> </w:t>
      </w:r>
      <w:r>
        <w:rPr>
          <w:i/>
          <w:iCs/>
        </w:rPr>
        <w:t xml:space="preserve">exemption</w:t>
      </w:r>
      <w:r>
        <w:t xml:space="preserve"> </w:t>
      </w:r>
      <w:r>
        <w:t xml:space="preserve">is not silent — it is a request with an approver and an expiry, so a policy exception is reviewable (the same discipline as an M365 CA exception).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Actuate:</w:t>
      </w:r>
      <w:r>
        <w:t xml:space="preserve"> </w:t>
      </w:r>
      <w:r>
        <w:t xml:space="preserve">native Azure Policy remediation runs, or the owning team applies the configuration through infrastructure-as-code (Vol VI Book 01/06). ServiceNow does not write the resource.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Close:</w:t>
      </w:r>
      <w:r>
        <w:t xml:space="preserve"> </w:t>
      </w:r>
      <w:r>
        <w:t xml:space="preserve">the next evaluation flips the resource to compliant; ServiceNow closes and stamps the evidence.</w:t>
      </w:r>
    </w:p>
    <w:bookmarkEnd w:id="12"/>
    <w:bookmarkStart w:id="13" w:name="Xe7760d8eadac7771d6f0318e8ac0c12ce3167c1"/>
    <w:p>
      <w:pPr>
        <w:pStyle w:val="Heading1"/>
      </w:pPr>
      <w:r>
        <w:t xml:space="preserve">4. Control Engine 2 — Defender for Cloud / MDVM (CM-6 / RA-5)</w:t>
      </w:r>
    </w:p>
    <w:p>
      <w:pPr>
        <w:pStyle w:val="FirstParagraph"/>
      </w:pPr>
      <w:r>
        <w:t xml:space="preserve">Defender for Cloud is the Azure posture engine (CSPM) and the vulnerability source for Azure workloads (MDVM) within the GCC Moderate boundary; Vol III Book 04 owns the posture architecture and Vol III Book 02 owns the assessment doctrine. (Defender for Cloud’s multi-cloud CNAPP reach is a later follow-up, out of scope here.) The coordination role turns its Azure findings into prioritized, owned remediation work.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Test + Detect:</w:t>
      </w:r>
      <w:r>
        <w:t xml:space="preserve"> </w:t>
      </w:r>
      <w:r>
        <w:t xml:space="preserve">Defender recommendations (misconfiguration) and MDVM findings (workload/image vulnerabilities) are read via the security-posture API.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Raise:</w:t>
      </w:r>
      <w:r>
        <w:t xml:space="preserve"> </w:t>
      </w:r>
      <w:r>
        <w:t xml:space="preserve">each finding becomes a ServiceNow</w:t>
      </w:r>
      <w:r>
        <w:t xml:space="preserve"> </w:t>
      </w:r>
      <w:r>
        <w:rPr>
          <w:b/>
          <w:bCs/>
        </w:rPr>
        <w:t xml:space="preserve">Vulnerability Response</w:t>
      </w:r>
      <w:r>
        <w:t xml:space="preserve"> </w:t>
      </w:r>
      <w:r>
        <w:t xml:space="preserve">task against the reconciled CI, with a severity and an SLA class derived from exposure and KEV status — the risk-based prioritization the PAIN-rating model (BOD 26-04; FedRAMP VDR-TFR-PVR) call for, detailed under Control Engine 3 below.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Actuate:</w:t>
      </w:r>
      <w:r>
        <w:t xml:space="preserve"> </w:t>
      </w:r>
      <w:r>
        <w:t xml:space="preserve">the owning team remediates on the native surface — a configuration fix, an image rebuild (Vol VI Book 01), or a patch (Update Manager, below).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Close:</w:t>
      </w:r>
      <w:r>
        <w:t xml:space="preserve"> </w:t>
      </w:r>
      <w:r>
        <w:t xml:space="preserve">the finding clears on the next Defender assessment; ServiceNow closes the task, and the mean-time-to-remediate becomes an SI-2(3) / KSI metric.</w:t>
      </w:r>
    </w:p>
    <w:bookmarkEnd w:id="13"/>
    <w:bookmarkStart w:id="14" w:name="control-engine-3-update-manager-arc-si-2"/>
    <w:p>
      <w:pPr>
        <w:pStyle w:val="Heading1"/>
      </w:pPr>
      <w:r>
        <w:t xml:space="preserve">5. Control Engine 3 — Update Manager + Arc (SI-2)</w:t>
      </w:r>
    </w:p>
    <w:p>
      <w:pPr>
        <w:pStyle w:val="FirstParagraph"/>
      </w:pPr>
      <w:r>
        <w:t xml:space="preserve">Azure Update Manager assesses and deploys guest-OS patches across Azure and, via Arc, hybrid Windows/Linux servers inside the GCC Moderate boundary. It is the SI-2 actuation engine for the guest OS; the coordination role reconciles its results into change/incident work with the SLA discipline SI-2(3) requires.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Test:</w:t>
      </w:r>
      <w:r>
        <w:t xml:space="preserve"> </w:t>
      </w:r>
      <w:r>
        <w:t xml:space="preserve">Update Manager’s assessment reports missing updates per machine, classified (critical / security / other).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Raise:</w:t>
      </w:r>
      <w:r>
        <w:t xml:space="preserve"> </w:t>
      </w:r>
      <w:r>
        <w:t xml:space="preserve">a missing critical/security update becomes a ServiceNow</w:t>
      </w:r>
      <w:r>
        <w:t xml:space="preserve"> </w:t>
      </w:r>
      <w:r>
        <w:rPr>
          <w:b/>
          <w:bCs/>
        </w:rPr>
        <w:t xml:space="preserve">Change</w:t>
      </w:r>
      <w:r>
        <w:t xml:space="preserve"> </w:t>
      </w:r>
      <w:r>
        <w:t xml:space="preserve">(scheduled maintenance) or</w:t>
      </w:r>
      <w:r>
        <w:t xml:space="preserve"> </w:t>
      </w:r>
      <w:r>
        <w:rPr>
          <w:b/>
          <w:bCs/>
        </w:rPr>
        <w:t xml:space="preserve">Incident</w:t>
      </w:r>
      <w:r>
        <w:t xml:space="preserve"> </w:t>
      </w:r>
      <w:r>
        <w:t xml:space="preserve">(an out-of-cycle KEV exposure), with an SLA class keyed to KEV/exposure — the PAIN-rating model (BOD 26-04; FedRAMP VDR-TFR-PVR), detailed below. The same SLA discipline is what other-CSP patch queues will reconcile into when they are added later (Vol III Book 03).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Actuate:</w:t>
      </w:r>
      <w:r>
        <w:t xml:space="preserve"> </w:t>
      </w:r>
      <w:r>
        <w:t xml:space="preserve">Update Manager deploys the patch in the approved maintenance window; ServiceNow does not push the update, it schedules and governs it.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Close + evidence:</w:t>
      </w:r>
      <w:r>
        <w:t xml:space="preserve"> </w:t>
      </w:r>
      <w:r>
        <w:t xml:space="preserve">post-deployment assessment confirms the update landed; the Change record, approval, window, and re-assessment become the SI-2(2) machine-readable remediation-status evidence.</w:t>
      </w:r>
    </w:p>
    <w:p>
      <w:pPr>
        <w:pStyle w:val="FirstParagraph"/>
      </w:pPr>
      <w:r>
        <w:rPr>
          <w:b/>
          <w:bCs/>
        </w:rPr>
        <w:t xml:space="preserve">“SLA by exposure”</w:t>
      </w:r>
      <w:r>
        <w:rPr>
          <w:b/>
          <w:bCs/>
        </w:rPr>
        <w:t xml:space="preserve"> </w:t>
      </w:r>
      <w:r>
        <w:rPr>
          <w:b/>
          <w:bCs/>
        </w:rPr>
        <w:t xml:space="preserve">has a name and a published table — the Potential Agency Impact (PAIN) rating.</w:t>
      </w:r>
      <w:r>
        <w:t xml:space="preserve"> </w:t>
      </w:r>
      <w:r>
        <w:t xml:space="preserve">FedRAMP’s Vulnerability Detection and Response ruleset (VDR-TFR-PVR) sets mitigation/remediation timeframes by PAIN rating crossed with exploitability and internet-reachability: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PAIN rating</w:t>
            </w:r>
          </w:p>
        </w:tc>
        <w:tc>
          <w:tcPr/>
          <w:p>
            <w:pPr>
              <w:pStyle w:val="Compact"/>
            </w:pPr>
            <w:r>
              <w:t xml:space="preserve">Likely-exploitable, internet-reachable</w:t>
            </w:r>
          </w:p>
        </w:tc>
        <w:tc>
          <w:tcPr/>
          <w:p>
            <w:pPr>
              <w:pStyle w:val="Compact"/>
            </w:pPr>
            <w:r>
              <w:t xml:space="preserve">Likely-exploitable, not internet-reachable</w:t>
            </w:r>
          </w:p>
        </w:tc>
        <w:tc>
          <w:tcPr/>
          <w:p>
            <w:pPr>
              <w:pStyle w:val="Compact"/>
            </w:pPr>
            <w:r>
              <w:t xml:space="preserve">Not likely exploitable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PAIN-5</w:t>
            </w:r>
          </w:p>
        </w:tc>
        <w:tc>
          <w:tcPr/>
          <w:p>
            <w:pPr>
              <w:pStyle w:val="Compact"/>
            </w:pPr>
            <w:r>
              <w:t xml:space="preserve">4 days</w:t>
            </w:r>
          </w:p>
        </w:tc>
        <w:tc>
          <w:tcPr/>
          <w:p>
            <w:pPr>
              <w:pStyle w:val="Compact"/>
            </w:pPr>
            <w:r>
              <w:t xml:space="preserve">8 days</w:t>
            </w:r>
          </w:p>
        </w:tc>
        <w:tc>
          <w:tcPr/>
          <w:p>
            <w:pPr>
              <w:pStyle w:val="Compact"/>
            </w:pPr>
            <w:r>
              <w:t xml:space="preserve">32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PAIN-4</w:t>
            </w:r>
          </w:p>
        </w:tc>
        <w:tc>
          <w:tcPr/>
          <w:p>
            <w:pPr>
              <w:pStyle w:val="Compact"/>
            </w:pPr>
            <w:r>
              <w:t xml:space="preserve">8 days</w:t>
            </w:r>
          </w:p>
        </w:tc>
        <w:tc>
          <w:tcPr/>
          <w:p>
            <w:pPr>
              <w:pStyle w:val="Compact"/>
            </w:pPr>
            <w:r>
              <w:t xml:space="preserve">32 days</w:t>
            </w:r>
          </w:p>
        </w:tc>
        <w:tc>
          <w:tcPr/>
          <w:p>
            <w:pPr>
              <w:pStyle w:val="Compact"/>
            </w:pPr>
            <w:r>
              <w:t xml:space="preserve">64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PAIN-3</w:t>
            </w:r>
          </w:p>
        </w:tc>
        <w:tc>
          <w:tcPr/>
          <w:p>
            <w:pPr>
              <w:pStyle w:val="Compact"/>
            </w:pPr>
            <w:r>
              <w:t xml:space="preserve">32 days</w:t>
            </w:r>
          </w:p>
        </w:tc>
        <w:tc>
          <w:tcPr/>
          <w:p>
            <w:pPr>
              <w:pStyle w:val="Compact"/>
            </w:pPr>
            <w:r>
              <w:t xml:space="preserve">64 days</w:t>
            </w:r>
          </w:p>
        </w:tc>
        <w:tc>
          <w:tcPr/>
          <w:p>
            <w:pPr>
              <w:pStyle w:val="Compact"/>
            </w:pPr>
            <w:r>
              <w:t xml:space="preserve">192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PAIN-2</w:t>
            </w:r>
          </w:p>
        </w:tc>
        <w:tc>
          <w:tcPr/>
          <w:p>
            <w:pPr>
              <w:pStyle w:val="Compact"/>
            </w:pPr>
            <w:r>
              <w:t xml:space="preserve">96 days</w:t>
            </w:r>
          </w:p>
        </w:tc>
        <w:tc>
          <w:tcPr/>
          <w:p>
            <w:pPr>
              <w:pStyle w:val="Compact"/>
            </w:pPr>
            <w:r>
              <w:t xml:space="preserve">160 days</w:t>
            </w:r>
          </w:p>
        </w:tc>
        <w:tc>
          <w:tcPr/>
          <w:p>
            <w:pPr>
              <w:pStyle w:val="Compact"/>
            </w:pPr>
            <w:r>
              <w:t xml:space="preserve">192 days</w:t>
            </w:r>
          </w:p>
        </w:tc>
      </w:tr>
    </w:tbl>
    <w:p>
      <w:pPr>
        <w:pStyle w:val="BodyText"/>
      </w:pPr>
      <w:r>
        <w:t xml:space="preserve">A CISA-catalogued KEV must be remediated by the KEV catalog’s own due date regardless of PAIN rating (VDR-TFR-KEV), even after full mitigation. These are the actual numbers a ServiceNow SLA-class task should encode —</w:t>
      </w:r>
      <w:r>
        <w:t xml:space="preserve"> </w:t>
      </w:r>
      <w:r>
        <w:t xml:space="preserve">“SLA by exposure”</w:t>
      </w:r>
      <w:r>
        <w:t xml:space="preserve"> </w:t>
      </w:r>
      <w:r>
        <w:t xml:space="preserve">is this table, not a general-purpose severity field.</w:t>
      </w:r>
    </w:p>
    <w:p>
      <w:pPr>
        <w:pStyle w:val="BodyText"/>
      </w:pPr>
      <w:r>
        <w:rPr>
          <w:b/>
          <w:bCs/>
        </w:rPr>
        <w:t xml:space="preserve">Scan is not remediation, and remediation is not the record.</w:t>
      </w:r>
      <w:r>
        <w:t xml:space="preserve"> </w:t>
      </w:r>
      <w:r>
        <w:t xml:space="preserve">Vol III Book 02 measures the gap (RA-5); Update Manager and the native stacks close it (SI-2); this book is the</w:t>
      </w:r>
      <w:r>
        <w:t xml:space="preserve"> </w:t>
      </w:r>
      <w:r>
        <w:rPr>
          <w:i/>
          <w:iCs/>
        </w:rPr>
        <w:t xml:space="preserve">record and clock</w:t>
      </w:r>
      <w:r>
        <w:t xml:space="preserve"> </w:t>
      </w:r>
      <w:r>
        <w:t xml:space="preserve">— the owned task, the approved window, the SLA, and the closure evidence. Three distinct jobs; conflating them is how a</w:t>
      </w:r>
      <w:r>
        <w:t xml:space="preserve"> </w:t>
      </w:r>
      <w:r>
        <w:t xml:space="preserve">“patched”</w:t>
      </w:r>
      <w:r>
        <w:t xml:space="preserve"> </w:t>
      </w:r>
      <w:r>
        <w:t xml:space="preserve">estate still fails an assessment for want of evidence.</w:t>
      </w:r>
    </w:p>
    <w:bookmarkEnd w:id="14"/>
    <w:bookmarkStart w:id="15" w:name="continuous-monitoring-roll-up-ca-7"/>
    <w:p>
      <w:pPr>
        <w:pStyle w:val="Heading1"/>
      </w:pPr>
      <w:r>
        <w:t xml:space="preserve">6. Continuous Monitoring Roll-Up (CA-7)</w:t>
      </w:r>
    </w:p>
    <w:p>
      <w:pPr>
        <w:pStyle w:val="FirstParagraph"/>
      </w:pPr>
      <w:r>
        <w:t xml:space="preserve">Each engine’s loop emits its result into the continuous-monitoring feed: policy-compliance percentage, open Defender findings by severity and age, patch SLA conformance. ServiceNow rolls these into a per-control Azure posture that Vol VII Book 04 turns into attestation and KSI evidence, keyed to the same reconciled asset identity the M365 posture uses — so the two clouds produce</w:t>
      </w:r>
      <w:r>
        <w:t xml:space="preserve"> </w:t>
      </w:r>
      <w:r>
        <w:rPr>
          <w:i/>
          <w:iCs/>
        </w:rPr>
        <w:t xml:space="preserve">one</w:t>
      </w:r>
      <w:r>
        <w:t xml:space="preserve"> </w:t>
      </w:r>
      <w:r>
        <w:t xml:space="preserve">compliance picture, not two.</w:t>
      </w:r>
    </w:p>
    <w:bookmarkEnd w:id="15"/>
    <w:bookmarkStart w:id="17" w:name="closure-necessity"/>
    <w:p>
      <w:pPr>
        <w:pStyle w:val="Heading1"/>
      </w:pPr>
      <w:r>
        <w:t xml:space="preserve">7. Closure Necessity</w:t>
      </w:r>
    </w:p>
    <w:bookmarkStart w:id="16" w:name="X991be35cea8a92d09d4c1b5c5d627b6cab8a690"/>
    <w:p>
      <w:pPr>
        <w:pStyle w:val="Heading2"/>
      </w:pPr>
      <w:r>
        <w:t xml:space="preserve">7.1 Closure Necessity — Azure actuates; the estate still needs an owner and a clock</w:t>
      </w:r>
    </w:p>
    <w:p>
      <w:pPr>
        <w:pStyle w:val="FirstParagraph"/>
      </w:pPr>
      <w:r>
        <w:t xml:space="preserve">Azure Policy remediates, Defender recommends, Update Manager patches — the native stack is genuinely sufficient to</w:t>
      </w:r>
      <w:r>
        <w:t xml:space="preserve"> </w:t>
      </w:r>
      <w:r>
        <w:rPr>
          <w:i/>
          <w:iCs/>
        </w:rPr>
        <w:t xml:space="preserve">change state</w:t>
      </w:r>
      <w:r>
        <w:t xml:space="preserve">. What it does not supply is the governance wrapper: who owns this finding, by when, under whose approval, with what evidence. Strip the coordination layer and Azure’s own consoles show green while the authorization package has no owned-and-evidenced record an assessor can trace. CM-6, SI-2, and RA-5 are closed by Azure; they are</w:t>
      </w:r>
      <w:r>
        <w:t xml:space="preserve"> </w:t>
      </w:r>
      <w:r>
        <w:rPr>
          <w:i/>
          <w:iCs/>
        </w:rPr>
        <w:t xml:space="preserve">operated</w:t>
      </w:r>
      <w:r>
        <w:t xml:space="preserve"> </w:t>
      </w:r>
      <w:r>
        <w:t xml:space="preserve">— owned, clocked, evidenced — here.</w:t>
      </w:r>
    </w:p>
    <w:bookmarkEnd w:id="16"/>
    <w:bookmarkEnd w:id="17"/>
    <w:bookmarkStart w:id="18" w:name="Xebd9fbc0874ac437cee95afe649484f9b290fc1"/>
    <w:p>
      <w:pPr>
        <w:pStyle w:val="Heading1"/>
      </w:pPr>
      <w:r>
        <w:t xml:space="preserve">8. NIST SP 800-53 Rev 5 Control Closure — Authorities Closed Here</w:t>
      </w:r>
    </w:p>
    <w:p>
      <w:pPr>
        <w:pStyle w:val="FirstParagraph"/>
      </w:pPr>
      <w:r>
        <w:t xml:space="preserve">Generated from the series compliance spine (</w:t>
      </w:r>
      <w:r>
        <w:rPr>
          <w:rStyle w:val="VerbatimChar"/>
        </w:rPr>
        <w:t xml:space="preserve">federal-compliance-compliance-spine.yml</w:t>
      </w:r>
      <w:r>
        <w:t xml:space="preserve">) by</w:t>
      </w:r>
      <w:r>
        <w:t xml:space="preserve"> </w:t>
      </w:r>
      <w:r>
        <w:rPr>
          <w:rStyle w:val="VerbatimChar"/>
        </w:rPr>
        <w:t xml:space="preserve">render_authorities_table.py</w:t>
      </w:r>
      <w:r>
        <w:t xml:space="preserve">; not hand-edited here. Coordination closures — the Azure control state operated as tracked work — not a re-closure of the posture/patch mechanisms Volumes III and VI own.</w:t>
      </w:r>
    </w:p>
    <w:p>
      <w:pPr>
        <w:pStyle w:val="TableCaption"/>
      </w:pPr>
      <w:r>
        <w:t xml:space="preserve">Authorities Closed Here — Azure Federal Control Compliance Automation († = Closure-Necessity anchor: no alternate closure path)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Authorities Closed Here — Azure Federal Control Compliance Automation († = Closure-Necessity anchor: no alternate closure path)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Closing mechanism (function, not product)</w:t>
            </w:r>
          </w:p>
        </w:tc>
        <w:tc>
          <w:tcPr/>
          <w:p>
            <w:pPr>
              <w:pStyle w:val="Compact"/>
            </w:pPr>
            <w:r>
              <w:t xml:space="preserve">Accreditation gate</w:t>
            </w:r>
          </w:p>
        </w:tc>
        <w:tc>
          <w:tcPr/>
          <w:p>
            <w:pPr>
              <w:pStyle w:val="Compact"/>
            </w:pPr>
            <w:r>
              <w:t xml:space="preserve">Authority drivers</w:t>
            </w:r>
          </w:p>
        </w:tc>
        <w:tc>
          <w:tcPr/>
          <w:p>
            <w:pPr>
              <w:pStyle w:val="Compact"/>
            </w:pPr>
            <w:r>
              <w:t xml:space="preserve">Evidence slot</w:t>
            </w:r>
          </w:p>
        </w:tc>
        <w:tc>
          <w:tcPr/>
          <w:p>
            <w:pPr>
              <w:pStyle w:val="Compact"/>
            </w:pPr>
            <w:r>
              <w:t xml:space="preserve">FedRAMP 20x KSI</w:t>
            </w:r>
          </w:p>
        </w:tc>
        <w:tc>
          <w:tcPr/>
          <w:p>
            <w:pPr>
              <w:pStyle w:val="Compact"/>
            </w:pPr>
            <w:r>
              <w:t xml:space="preserve">Tool-attestable?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CM-6</w:t>
            </w:r>
          </w:p>
        </w:tc>
        <w:tc>
          <w:tcPr/>
          <w:p>
            <w:pPr>
              <w:pStyle w:val="Compact"/>
            </w:pPr>
            <w:r>
              <w:t xml:space="preserve">Configuration Settings</w:t>
            </w:r>
          </w:p>
        </w:tc>
        <w:tc>
          <w:tcPr/>
          <w:p>
            <w:pPr>
              <w:pStyle w:val="Compact"/>
            </w:pPr>
            <w:r>
              <w:t xml:space="preserve">Azure Policy / Defender-for-Cloud recommendations raised as ServiceNow remediation tasks; Azure-native remediation actuates, ServiceNow tracks to closure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CISA SCuBA</w:t>
            </w:r>
          </w:p>
        </w:tc>
        <w:tc>
          <w:tcPr/>
          <w:p>
            <w:pPr>
              <w:pStyle w:val="Compact"/>
            </w:pPr>
            <w:r>
              <w:t xml:space="preserve">Security / supply chain</w:t>
            </w:r>
          </w:p>
        </w:tc>
        <w:tc>
          <w:tcPr/>
          <w:p>
            <w:pPr>
              <w:pStyle w:val="Compact"/>
            </w:pPr>
            <w:r>
              <w:t xml:space="preserve">KSI-CMT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RA-5</w:t>
            </w:r>
          </w:p>
        </w:tc>
        <w:tc>
          <w:tcPr/>
          <w:p>
            <w:pPr>
              <w:pStyle w:val="Compact"/>
            </w:pPr>
            <w:r>
              <w:t xml:space="preserve">Vulnerability Monitoring and Scanning</w:t>
            </w:r>
          </w:p>
        </w:tc>
        <w:tc>
          <w:tcPr/>
          <w:p>
            <w:pPr>
              <w:pStyle w:val="Compact"/>
            </w:pPr>
            <w:r>
              <w:t xml:space="preserve">Defender for Cloud / MDVM findings on Azure workloads flow to ServiceNow Vulnerability Response as prioritized remediation tasks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CISA BOD 26-04</w:t>
            </w:r>
          </w:p>
        </w:tc>
        <w:tc>
          <w:tcPr/>
          <w:p>
            <w:pPr>
              <w:pStyle w:val="Compact"/>
            </w:pPr>
            <w:r>
              <w:t xml:space="preserve">Security / supply chain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SI-2</w:t>
            </w:r>
          </w:p>
        </w:tc>
        <w:tc>
          <w:tcPr/>
          <w:p>
            <w:pPr>
              <w:pStyle w:val="Compact"/>
            </w:pPr>
            <w:r>
              <w:t xml:space="preserve">Flaw Remediation</w:t>
            </w:r>
          </w:p>
        </w:tc>
        <w:tc>
          <w:tcPr/>
          <w:p>
            <w:pPr>
              <w:pStyle w:val="Compact"/>
            </w:pPr>
            <w:r>
              <w:t xml:space="preserve">Azure Update Manager patch results reconciled into ServiceNow Change/Incident with SLA-class tasks keyed to KEV/exposure (actuation platform-native)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CISA BOD 26-04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KSI-SVC, KSI-MLA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bookmarkEnd w:id="18"/>
    <w:bookmarkStart w:id="19" w:name="honest-limits"/>
    <w:p>
      <w:pPr>
        <w:pStyle w:val="Heading1"/>
      </w:pPr>
      <w:r>
        <w:t xml:space="preserve">9. Honest Limits</w:t>
      </w:r>
    </w:p>
    <w:p>
      <w:pPr>
        <w:pStyle w:val="Compact"/>
        <w:numPr>
          <w:ilvl w:val="0"/>
          <w:numId w:val="1004"/>
        </w:numPr>
      </w:pPr>
      <w:r>
        <w:t xml:space="preserve">A task closes when the native re-evaluation passes; Azure Policy/Defender assessment latency means</w:t>
      </w:r>
      <w:r>
        <w:t xml:space="preserve"> </w:t>
      </w:r>
      <w:r>
        <w:t xml:space="preserve">“closed”</w:t>
      </w:r>
      <w:r>
        <w:t xml:space="preserve"> </w:t>
      </w:r>
      <w:r>
        <w:t xml:space="preserve">can lag actual state by an evaluation cycle. Evidence timestamps record the cycle, not the instant.</w:t>
      </w:r>
    </w:p>
    <w:p>
      <w:pPr>
        <w:pStyle w:val="Compact"/>
        <w:numPr>
          <w:ilvl w:val="0"/>
          <w:numId w:val="1004"/>
        </w:numPr>
      </w:pPr>
      <w:r>
        <w:t xml:space="preserve">Arc governs guest OS only; ESXi, firmware, and managed-service patching reconcile in from their own native stacks (Vol III Book 03). Treating Arc as the whole management plane is a doctrine violation the reconcile-exception queue is meant to catch.</w:t>
      </w:r>
    </w:p>
    <w:p>
      <w:pPr>
        <w:pStyle w:val="Compact"/>
        <w:numPr>
          <w:ilvl w:val="0"/>
          <w:numId w:val="1004"/>
        </w:numPr>
      </w:pPr>
      <w:r>
        <w:t xml:space="preserve">Native Azure Policy auto-remediation (deployIfNotExists/modify) still carries a Change record — automated actuation does not waive change control (CM-3); it makes the change record’s</w:t>
      </w:r>
      <w:r>
        <w:t xml:space="preserve"> </w:t>
      </w:r>
      <w:r>
        <w:rPr>
          <w:i/>
          <w:iCs/>
        </w:rPr>
        <w:t xml:space="preserve">actuator</w:t>
      </w:r>
      <w:r>
        <w:t xml:space="preserve"> </w:t>
      </w:r>
      <w:r>
        <w:t xml:space="preserve">the policy engine rather than a person.</w:t>
      </w:r>
    </w:p>
    <w:bookmarkEnd w:id="19"/>
    <w:bookmarkStart w:id="20" w:name="cross-references"/>
    <w:p>
      <w:pPr>
        <w:pStyle w:val="Heading1"/>
      </w:pPr>
      <w:r>
        <w:t xml:space="preserve">10. Cross-References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Vol III Book 02 (Vulnerability Management)</w:t>
      </w:r>
      <w:r>
        <w:t xml:space="preserve"> </w:t>
      </w:r>
      <w:r>
        <w:t xml:space="preserve">— the assessment half whose findings this book routes to remediation tasks.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Vol III Book 03 (Patch &amp; Systems Management)</w:t>
      </w:r>
      <w:r>
        <w:t xml:space="preserve"> </w:t>
      </w:r>
      <w:r>
        <w:t xml:space="preserve">— the SI-2 queue this book’s Update Manager results reconcile into (Azure/hybrid now; other CSPs in a later follow-up).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Vol III Book 04 (Cloud-Native Posture)</w:t>
      </w:r>
      <w:r>
        <w:t xml:space="preserve"> </w:t>
      </w:r>
      <w:r>
        <w:t xml:space="preserve">— the Defender for Cloud posture architecture this book coordinates findings from.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Vol VI Book 01/06 (Landing Zone / Baselines as Code)</w:t>
      </w:r>
      <w:r>
        <w:t xml:space="preserve"> </w:t>
      </w:r>
      <w:r>
        <w:t xml:space="preserve">— the IaC that actuates many Azure remediations.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Vol VII Book 01</w:t>
      </w:r>
      <w:r>
        <w:t xml:space="preserve"> </w:t>
      </w:r>
      <w:r>
        <w:t xml:space="preserve">— the reconciled CIs every Azure task is raised against;</w:t>
      </w:r>
      <w:r>
        <w:t xml:space="preserve"> </w:t>
      </w:r>
      <w:r>
        <w:rPr>
          <w:b/>
          <w:bCs/>
        </w:rPr>
        <w:t xml:space="preserve">Vol VII Book 04</w:t>
      </w:r>
      <w:r>
        <w:t xml:space="preserve"> </w:t>
      </w:r>
      <w:r>
        <w:t xml:space="preserve">— where the Azure posture roll-up becomes attestation.</w:t>
      </w:r>
    </w:p>
    <w:bookmarkEnd w:id="20"/>
    <w:bookmarkStart w:id="22" w:name="provenance"/>
    <w:p>
      <w:pPr>
        <w:pStyle w:val="Heading1"/>
      </w:pPr>
      <w:r>
        <w:t xml:space="preserve">11. Provenance</w:t>
      </w:r>
    </w:p>
    <w:p>
      <w:pPr>
        <w:pStyle w:val="FirstParagraph"/>
      </w:pPr>
      <w:r>
        <w:t xml:space="preserve">Draft. Azure Policy, Defender for Cloud, MDVM, Update Manager, and Arc are deployed examples; the detect→raise→actuate-native→close→evidence loop is the invariant, identical to the M365 book. Vendor claims cite vendor documentation (see References) and are dated, not permanent — see the</w:t>
      </w:r>
      <w:r>
        <w:t xml:space="preserve"> </w:t>
      </w:r>
      <w:hyperlink r:id="rId21">
        <w:r>
          <w:rPr>
            <w:rStyle w:val="Hyperlink"/>
          </w:rPr>
          <w:t xml:space="preserve">Vendor Currency Doctrine</w:t>
        </w:r>
      </w:hyperlink>
      <w:r>
        <w:t xml:space="preserve">. The compliance-loop figure is authored as committed house-style SVG; further per-book figures follow in the PPTX→DOCX sync pass.</w:t>
      </w:r>
    </w:p>
    <w:bookmarkEnd w:id="22"/>
    <w:bookmarkStart w:id="29" w:name="references"/>
    <w:p>
      <w:pPr>
        <w:pStyle w:val="Heading1"/>
      </w:pPr>
      <w:r>
        <w:t xml:space="preserve">12. References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Azure Policy compliance &amp; remediation</w:t>
            </w:r>
          </w:p>
        </w:tc>
        <w:tc>
          <w:tcPr/>
          <w:p>
            <w:pPr>
              <w:pStyle w:val="Compact"/>
            </w:pPr>
            <w:r>
              <w:t xml:space="preserve">Microsoft Learn —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https://learn.microsoft.com/azure/governance/policy/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Microsoft Defender for Cloud (CSPM/CNAPP, MDVM)</w:t>
            </w:r>
          </w:p>
        </w:tc>
        <w:tc>
          <w:tcPr/>
          <w:p>
            <w:pPr>
              <w:pStyle w:val="Compact"/>
            </w:pPr>
            <w:r>
              <w:t xml:space="preserve">Microsoft Learn —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https://learn.microsoft.com/azure/defender-for-cloud/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Azure Update Manager (guest-OS patch)</w:t>
            </w:r>
          </w:p>
        </w:tc>
        <w:tc>
          <w:tcPr/>
          <w:p>
            <w:pPr>
              <w:pStyle w:val="Compact"/>
            </w:pPr>
            <w:r>
              <w:t xml:space="preserve">Microsoft Learn —</w:t>
            </w:r>
            <w:r>
              <w:t xml:space="preserve"> </w:t>
            </w:r>
            <w:hyperlink r:id="rId25">
              <w:r>
                <w:rPr>
                  <w:rStyle w:val="Hyperlink"/>
                </w:rPr>
                <w:t xml:space="preserve">https://learn.microsoft.com/azure/update-manager/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Azure Arc (hybrid guest-OS reach)</w:t>
            </w:r>
          </w:p>
        </w:tc>
        <w:tc>
          <w:tcPr/>
          <w:p>
            <w:pPr>
              <w:pStyle w:val="Compact"/>
            </w:pPr>
            <w:r>
              <w:t xml:space="preserve">Microsoft Learn —</w:t>
            </w:r>
            <w:r>
              <w:t xml:space="preserve"> </w:t>
            </w:r>
            <w:hyperlink r:id="rId26">
              <w:r>
                <w:rPr>
                  <w:rStyle w:val="Hyperlink"/>
                </w:rPr>
                <w:t xml:space="preserve">https://learn.microsoft.com/azure/azure-arc/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Risk-based remediation prioritization (KEV catalog)</w:t>
            </w:r>
          </w:p>
        </w:tc>
        <w:tc>
          <w:tcPr/>
          <w:p>
            <w:pPr>
              <w:pStyle w:val="Compact"/>
            </w:pPr>
            <w:r>
              <w:t xml:space="preserve">CISA —</w:t>
            </w:r>
            <w:r>
              <w:t xml:space="preserve"> </w:t>
            </w:r>
            <w:hyperlink r:id="rId27">
              <w:r>
                <w:rPr>
                  <w:rStyle w:val="Hyperlink"/>
                </w:rPr>
                <w:t xml:space="preserve">https://www.cisa.gov/known-exploited-vulnerabilities-catalog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PAIN-rating remediation timeframes (VDR-TFR-PVR)</w:t>
            </w:r>
          </w:p>
        </w:tc>
        <w:tc>
          <w:tcPr/>
          <w:p>
            <w:pPr>
              <w:pStyle w:val="Compact"/>
            </w:pPr>
            <w:r>
              <w:t xml:space="preserve">FedRAMP —</w:t>
            </w:r>
            <w:r>
              <w:t xml:space="preserve"> </w:t>
            </w:r>
            <w:hyperlink r:id="rId28">
              <w:r>
                <w:rPr>
                  <w:rStyle w:val="Hyperlink"/>
                </w:rPr>
                <w:t xml:space="preserve">https://www.fedramp.gov/2026/reference/vulnerability-detection-and-response/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ServiceNow as workflow/CMDB/evidence coordination hub</w:t>
            </w:r>
          </w:p>
        </w:tc>
        <w:tc>
          <w:tcPr/>
          <w:p>
            <w:pPr>
              <w:pStyle w:val="Compact"/>
            </w:pPr>
            <w:r>
              <w:t xml:space="preserve">Expansion Plan §16 —</w:t>
            </w:r>
            <w:r>
              <w:t xml:space="preserve"> </w:t>
            </w:r>
            <w:r>
              <w:rPr>
                <w:rStyle w:val="VerbatimChar"/>
              </w:rPr>
              <w:t xml:space="preserve">docs/customer-documents/federal-compliance-series/Compliance_Series_Expansion_Plan_Substrate_Accreditation.md</w:t>
            </w:r>
          </w:p>
        </w:tc>
      </w:tr>
    </w:tbl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Vol_0_Book_00_Executive_Summary.md#vendor-currency" TargetMode="External" /><Relationship Type="http://schemas.openxmlformats.org/officeDocument/2006/relationships/hyperlink" Id="rId26" Target="https://learn.microsoft.com/azure/azure-arc/" TargetMode="External" /><Relationship Type="http://schemas.openxmlformats.org/officeDocument/2006/relationships/hyperlink" Id="rId24" Target="https://learn.microsoft.com/azure/defender-for-cloud/" TargetMode="External" /><Relationship Type="http://schemas.openxmlformats.org/officeDocument/2006/relationships/hyperlink" Id="rId23" Target="https://learn.microsoft.com/azure/governance/policy/" TargetMode="External" /><Relationship Type="http://schemas.openxmlformats.org/officeDocument/2006/relationships/hyperlink" Id="rId25" Target="https://learn.microsoft.com/azure/update-manager/" TargetMode="External" /><Relationship Type="http://schemas.openxmlformats.org/officeDocument/2006/relationships/hyperlink" Id="rId27" Target="https://www.cisa.gov/known-exploited-vulnerabilities-catalog" TargetMode="External" /><Relationship Type="http://schemas.openxmlformats.org/officeDocument/2006/relationships/hyperlink" Id="rId28" Target="https://www.fedramp.gov/2026/reference/vulnerability-detection-and-respons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Vol_0_Book_00_Executive_Summary.md#vendor-currency" TargetMode="External" /><Relationship Type="http://schemas.openxmlformats.org/officeDocument/2006/relationships/hyperlink" Id="rId26" Target="https://learn.microsoft.com/azure/azure-arc/" TargetMode="External" /><Relationship Type="http://schemas.openxmlformats.org/officeDocument/2006/relationships/hyperlink" Id="rId24" Target="https://learn.microsoft.com/azure/defender-for-cloud/" TargetMode="External" /><Relationship Type="http://schemas.openxmlformats.org/officeDocument/2006/relationships/hyperlink" Id="rId23" Target="https://learn.microsoft.com/azure/governance/policy/" TargetMode="External" /><Relationship Type="http://schemas.openxmlformats.org/officeDocument/2006/relationships/hyperlink" Id="rId25" Target="https://learn.microsoft.com/azure/update-manager/" TargetMode="External" /><Relationship Type="http://schemas.openxmlformats.org/officeDocument/2006/relationships/hyperlink" Id="rId27" Target="https://www.cisa.gov/known-exploited-vulnerabilities-catalog" TargetMode="External" /><Relationship Type="http://schemas.openxmlformats.org/officeDocument/2006/relationships/hyperlink" Id="rId28" Target="https://www.fedramp.gov/2026/reference/vulnerability-detection-and-respons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VII Book 03 — Federal Compliance — Azure Federal Control Compliance Automation</dc:title>
  <dc:creator>Federal Cloud Services</dc:creator>
  <cp:keywords/>
  <dcterms:created xsi:type="dcterms:W3CDTF">2026-10-19T10:10:18Z</dcterms:created>
  <dcterms:modified xsi:type="dcterms:W3CDTF">2026-10-19T10:10:18Z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2026-07-28 12:45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Azure Policy, Defender for Cloud, and Update Manager control state, operated as ServiceNow work</vt:lpwstr>
  </property>
  <property fmtid="{D5CDD505-2E9C-101B-9397-08002B2CF9AE}" pid="16" name="toc-title">
    <vt:lpwstr>Table of contents</vt:lpwstr>
  </property>
</Properties>
</file>