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VII Book 04 — Federal Compliance — Control Attestation, Evidence &amp; KSI</w:t>
      </w:r>
    </w:p>
    <w:p>
      <w:pPr>
        <w:pStyle w:val="Subtitle"/>
      </w:pPr>
      <w:r>
        <w:t xml:space="preserve">From tracked task to assessed control: IRM/GRC control tests, POA&amp;M, and the OSCAL/KSI feed into the authorization package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2026-07-21 11:38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2026-07-21 07:38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VII Book 04. The output stage of the coordination layer. Books 02 and 03 turn M365 and Azure control state into tracked work; this book turns the</w:t>
      </w:r>
      <w:r>
        <w:t xml:space="preserve"> </w:t>
      </w:r>
      <w:r>
        <w:rPr>
          <w:i/>
          <w:iCs/>
        </w:rPr>
        <w:t xml:space="preserve">rolled-up result</w:t>
      </w:r>
      <w:r>
        <w:t xml:space="preserve"> </w:t>
      </w:r>
      <w:r>
        <w:t xml:space="preserve">of that work into</w:t>
      </w:r>
      <w:r>
        <w:t xml:space="preserve"> </w:t>
      </w:r>
      <w:r>
        <w:rPr>
          <w:b/>
          <w:bCs/>
        </w:rPr>
        <w:t xml:space="preserve">assessed control state</w:t>
      </w:r>
      <w:r>
        <w:t xml:space="preserve"> </w:t>
      </w:r>
      <w:r>
        <w:t xml:space="preserve">— the ServiceNow IRM/GRC control tests, POA&amp;M items, and the OSCAL/KSI evidence feed that Vol IV Book 06 (Authorization Package &amp; ConMon) and Vol VI Book 07 (Evidence &amp; ConMon Pipeline) carry into the ATO package.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A closed remediation task is operational hygiene; an</w:t>
      </w:r>
      <w:r>
        <w:t xml:space="preserve"> </w:t>
      </w:r>
      <w:r>
        <w:rPr>
          <w:i/>
          <w:iCs/>
        </w:rPr>
        <w:t xml:space="preserve">assessed control</w:t>
      </w:r>
      <w:r>
        <w:t xml:space="preserve"> </w:t>
      </w:r>
      <w:r>
        <w:t xml:space="preserve">is what an authorizing official signs. Between the two sits attestation: the periodic control test, the evidence that the test passed, the POA&amp;M for what did not, and the machine-readable roll-up that lets a continuous authorization run instead of a once-a-year scramble.</w:t>
      </w:r>
    </w:p>
    <w:p>
      <w:pPr>
        <w:pStyle w:val="BodyText"/>
      </w:pPr>
      <w:r>
        <w:t xml:space="preserve">This book covers how ServiceNow’s IRM/GRC surface consumes the tracked-work stream from Books 01–03 and produces the three artifacts the authorization package needs:</w:t>
      </w:r>
      <w:r>
        <w:t xml:space="preserve"> </w:t>
      </w:r>
      <w:r>
        <w:rPr>
          <w:b/>
          <w:bCs/>
        </w:rPr>
        <w:t xml:space="preserve">assessed control state (CA-2)</w:t>
      </w:r>
      <w:r>
        <w:t xml:space="preserve">,</w:t>
      </w:r>
      <w:r>
        <w:t xml:space="preserve"> </w:t>
      </w:r>
      <w:r>
        <w:rPr>
          <w:b/>
          <w:bCs/>
        </w:rPr>
        <w:t xml:space="preserve">a plan of action and milestones for gaps (CA-5)</w:t>
      </w:r>
      <w:r>
        <w:t xml:space="preserve">, and</w:t>
      </w:r>
      <w:r>
        <w:t xml:space="preserve"> </w:t>
      </w:r>
      <w:r>
        <w:rPr>
          <w:b/>
          <w:bCs/>
        </w:rPr>
        <w:t xml:space="preserve">a continuous-monitoring roll-up emitted as OSCAL and FedRAMP 20x KSI evidence (CA-7)</w:t>
      </w:r>
      <w:r>
        <w:t xml:space="preserve">. It is the join between the coordination layer and the series’ existing evidence spine — it does not replace that spine, it feeds it.</w:t>
      </w:r>
    </w:p>
    <w:bookmarkEnd w:id="10"/>
    <w:bookmarkStart w:id="11" w:name="X3d558d0dafbb4653958ec0c6b282050d249a8ea"/>
    <w:p>
      <w:pPr>
        <w:pStyle w:val="Heading1"/>
      </w:pPr>
      <w:r>
        <w:t xml:space="preserve">2. The Attestation Model — Task Stream to Assessed Control</w:t>
      </w:r>
    </w:p>
    <w:p>
      <w:pPr>
        <w:pStyle w:val="FirstParagraph"/>
      </w:pPr>
      <w:r>
        <w:t xml:space="preserve">Control state arrives as work; attestation lifts it to evidence in four steps: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ServiceNow surface</w:t>
            </w:r>
          </w:p>
        </w:tc>
        <w:tc>
          <w:tcPr/>
          <w:p>
            <w:pPr>
              <w:pStyle w:val="Compact"/>
            </w:pPr>
            <w:r>
              <w:t xml:space="preserve">Output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 Map</w:t>
            </w:r>
          </w:p>
        </w:tc>
        <w:tc>
          <w:tcPr/>
          <w:p>
            <w:pPr>
              <w:pStyle w:val="Compact"/>
            </w:pPr>
            <w:r>
              <w:t xml:space="preserve">Control → the M365/Azure tests and tasks that evidence it (the compliance spine binding)</w:t>
            </w:r>
          </w:p>
        </w:tc>
        <w:tc>
          <w:tcPr/>
          <w:p>
            <w:pPr>
              <w:pStyle w:val="Compact"/>
            </w:pPr>
            <w:r>
              <w:t xml:space="preserve">IRM control map</w:t>
            </w:r>
          </w:p>
        </w:tc>
        <w:tc>
          <w:tcPr/>
          <w:p>
            <w:pPr>
              <w:pStyle w:val="Compact"/>
            </w:pPr>
            <w:r>
              <w:t xml:space="preserve">Each control knows which tests attest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 Test</w:t>
            </w:r>
          </w:p>
        </w:tc>
        <w:tc>
          <w:tcPr/>
          <w:p>
            <w:pPr>
              <w:pStyle w:val="Compact"/>
            </w:pPr>
            <w:r>
              <w:t xml:space="preserve">Scheduled control test reads the current posture roll-up (Books 02/03) + spot evidence</w:t>
            </w:r>
          </w:p>
        </w:tc>
        <w:tc>
          <w:tcPr/>
          <w:p>
            <w:pPr>
              <w:pStyle w:val="Compact"/>
            </w:pPr>
            <w:r>
              <w:t xml:space="preserve">IRM control test / indicator</w:t>
            </w:r>
          </w:p>
        </w:tc>
        <w:tc>
          <w:tcPr/>
          <w:p>
            <w:pPr>
              <w:pStyle w:val="Compact"/>
            </w:pPr>
            <w:r>
              <w:t xml:space="preserve">Pass / fail / partial per control, with evidence attached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 Gap</w:t>
            </w:r>
          </w:p>
        </w:tc>
        <w:tc>
          <w:tcPr/>
          <w:p>
            <w:pPr>
              <w:pStyle w:val="Compact"/>
            </w:pPr>
            <w:r>
              <w:t xml:space="preserve">Any fail/partial</w:t>
            </w:r>
          </w:p>
        </w:tc>
        <w:tc>
          <w:tcPr/>
          <w:p>
            <w:pPr>
              <w:pStyle w:val="Compact"/>
            </w:pPr>
            <w:r>
              <w:t xml:space="preserve">IRM issue → POA&amp;M</w:t>
            </w:r>
          </w:p>
        </w:tc>
        <w:tc>
          <w:tcPr/>
          <w:p>
            <w:pPr>
              <w:pStyle w:val="Compact"/>
            </w:pPr>
            <w:r>
              <w:t xml:space="preserve">Owned POA&amp;M item: milestone, owner, closure evidence (CA-5)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4. Emit</w:t>
            </w:r>
          </w:p>
        </w:tc>
        <w:tc>
          <w:tcPr/>
          <w:p>
            <w:pPr>
              <w:pStyle w:val="Compact"/>
            </w:pPr>
            <w:r>
              <w:t xml:space="preserve">Assessed control state + POA&amp;M</w:t>
            </w:r>
          </w:p>
        </w:tc>
        <w:tc>
          <w:tcPr/>
          <w:p>
            <w:pPr>
              <w:pStyle w:val="Compact"/>
            </w:pPr>
            <w:r>
              <w:t xml:space="preserve">Evidence export</w:t>
            </w:r>
          </w:p>
        </w:tc>
        <w:tc>
          <w:tcPr/>
          <w:p>
            <w:pPr>
              <w:pStyle w:val="Compact"/>
            </w:pPr>
            <w:r>
              <w:t xml:space="preserve">OSCAL component/assessment + KSI evidence into the ConMon package</w:t>
            </w:r>
          </w:p>
        </w:tc>
      </w:tr>
    </w:tbl>
    <w:p>
      <w:pPr>
        <w:pStyle w:val="BodyText"/>
      </w:pPr>
      <w:r>
        <w:rPr>
          <w:b/>
          <w:bCs/>
        </w:rPr>
        <w:t xml:space="preserve">The compliance spine is the SSOT for the control-to-evidence binding.</w:t>
      </w:r>
      <w:r>
        <w:t xml:space="preserve"> </w:t>
      </w:r>
      <w:r>
        <w:t xml:space="preserve">Which controls this volume attests, and which slot/KSI each maps to, is defined in</w:t>
      </w:r>
      <w:r>
        <w:t xml:space="preserve"> </w:t>
      </w:r>
      <w:r>
        <w:rPr>
          <w:rStyle w:val="VerbatimChar"/>
        </w:rPr>
        <w:t xml:space="preserve">federal-compliance-compliance-spine.yml</w:t>
      </w:r>
      <w:r>
        <w:t xml:space="preserve"> </w:t>
      </w:r>
      <w:r>
        <w:t xml:space="preserve">— the same generated spine that renders every book’s</w:t>
      </w:r>
      <w:r>
        <w:t xml:space="preserve"> </w:t>
      </w:r>
      <w:r>
        <w:t xml:space="preserve">“Authorities Closed Here”</w:t>
      </w:r>
      <w:r>
        <w:t xml:space="preserve"> </w:t>
      </w:r>
      <w:r>
        <w:t xml:space="preserve">table. ServiceNow’s IRM control map is a</w:t>
      </w:r>
      <w:r>
        <w:t xml:space="preserve"> </w:t>
      </w:r>
      <w:r>
        <w:rPr>
          <w:i/>
          <w:iCs/>
        </w:rPr>
        <w:t xml:space="preserve">projection</w:t>
      </w:r>
      <w:r>
        <w:t xml:space="preserve"> </w:t>
      </w:r>
      <w:r>
        <w:t xml:space="preserve">of that binding, not an independent authority. If the two disagree, the spine wins and the IRM map is out of date — the identical truth-vs-projection discipline the CMDB follows toward IPAM/DDI.</w:t>
      </w:r>
    </w:p>
    <w:bookmarkEnd w:id="11"/>
    <w:bookmarkStart w:id="12" w:name="assessed-control-state-ca-2"/>
    <w:p>
      <w:pPr>
        <w:pStyle w:val="Heading1"/>
      </w:pPr>
      <w:r>
        <w:t xml:space="preserve">3. Assessed Control State (CA-2)</w:t>
      </w:r>
    </w:p>
    <w:p>
      <w:pPr>
        <w:pStyle w:val="FirstParagraph"/>
      </w:pPr>
      <w:r>
        <w:t xml:space="preserve">The IRM control test is the attestation primitive. Each control this volume covers carries a test that reads the rolled-up posture from Books 02/03 (SCuBA pass rate, CA-exception review currency, Azure Policy compliance, Defender open-finding age, patch SLA conformance) and renders a pass/fail/partial with the underlying evidence attached. Because the test reads</w:t>
      </w:r>
      <w:r>
        <w:t xml:space="preserve"> </w:t>
      </w:r>
      <w:r>
        <w:rPr>
          <w:i/>
          <w:iCs/>
        </w:rPr>
        <w:t xml:space="preserve">actioned</w:t>
      </w:r>
      <w:r>
        <w:t xml:space="preserve"> </w:t>
      </w:r>
      <w:r>
        <w:t xml:space="preserve">posture — drift that became a task that became closure — a passing control is backed by an owned, evidenced trail, not a point-in-time screenshot. That is the difference between CA-2 as an annual event and CA-2 as a standing indicator.</w:t>
      </w:r>
    </w:p>
    <w:bookmarkEnd w:id="12"/>
    <w:bookmarkStart w:id="13" w:name="plan-of-action-milestones-ca-5"/>
    <w:p>
      <w:pPr>
        <w:pStyle w:val="Heading1"/>
      </w:pPr>
      <w:r>
        <w:t xml:space="preserve">4. Plan of Action &amp; Milestones (CA-5)</w:t>
      </w:r>
    </w:p>
    <w:p>
      <w:pPr>
        <w:pStyle w:val="FirstParagraph"/>
      </w:pPr>
      <w:r>
        <w:t xml:space="preserve">Every fail or partial becomes a POA&amp;M item with a single owner, a milestone date, and a required closure evidence type. POA&amp;M items are ServiceNow IRM issues, so they inherit the same SLA, approval, and audit-trail machinery as remediation tasks — and they</w:t>
      </w:r>
      <w:r>
        <w:t xml:space="preserve"> </w:t>
      </w:r>
      <w:r>
        <w:rPr>
          <w:i/>
          <w:iCs/>
        </w:rPr>
        <w:t xml:space="preserve">link back</w:t>
      </w:r>
      <w:r>
        <w:t xml:space="preserve"> </w:t>
      </w:r>
      <w:r>
        <w:t xml:space="preserve">to the Books 02/03 tasks that will close them, so the POA&amp;M is never a parallel spreadsheet that drifts from the operational work. A POA&amp;M whose linked remediation task closes with passing re-test evidence closes automatically; one whose milestone slips escalates. This is CA-5 as a living record joined to the work, not a quarterly reconciliation.</w:t>
      </w:r>
    </w:p>
    <w:bookmarkEnd w:id="13"/>
    <w:bookmarkStart w:id="14" w:name="the-oscal-ksi-emit-ca-7"/>
    <w:p>
      <w:pPr>
        <w:pStyle w:val="Heading1"/>
      </w:pPr>
      <w:r>
        <w:t xml:space="preserve">5. The OSCAL / KSI Emit (CA-7)</w:t>
      </w:r>
    </w:p>
    <w:p>
      <w:pPr>
        <w:pStyle w:val="FirstParagraph"/>
      </w:pPr>
      <w:r>
        <w:t xml:space="preserve">The roll-up is emitted in the two machine-readable forms the series already consumes: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OSCAL</w:t>
      </w:r>
      <w:r>
        <w:t xml:space="preserve"> </w:t>
      </w:r>
      <w:r>
        <w:t xml:space="preserve">— assessed control state and POA&amp;M are exported as OSCAL assessment-results / POA&amp;M models into the authorization package that Vol IV Book 06 owns. This keeps the ATO package generated, not hand-assembled, and diffable release to release.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FedRAMP 20x KSI evidence</w:t>
      </w:r>
      <w:r>
        <w:t xml:space="preserve"> </w:t>
      </w:r>
      <w:r>
        <w:t xml:space="preserve">— each attested control’s result is mapped to its KSI theme (per the spine’s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bindings) and emitted as KSI evidence into the pipeline Vol VI Book 07 and the Multi-Cloud Evidence Fabric (Vol III Book 07) carry to CDM and the KSI scorer.</w:t>
      </w:r>
    </w:p>
    <w:p>
      <w:pPr>
        <w:pStyle w:val="FirstParagraph"/>
      </w:pPr>
      <w:r>
        <w:rPr>
          <w:b/>
          <w:bCs/>
        </w:rPr>
        <w:t xml:space="preserve">ServiceNow is the workflow hub, not the evidence lake.</w:t>
      </w:r>
      <w:r>
        <w:t xml:space="preserve"> </w:t>
      </w:r>
      <w:r>
        <w:t xml:space="preserve">The telemetry lake and the KSI scorer live in the evidence fabric (Vol III Book 07); ServiceNow contributes the</w:t>
      </w:r>
      <w:r>
        <w:t xml:space="preserve"> </w:t>
      </w:r>
      <w:r>
        <w:rPr>
          <w:i/>
          <w:iCs/>
        </w:rPr>
        <w:t xml:space="preserve">workflow-and-attestation</w:t>
      </w:r>
      <w:r>
        <w:t xml:space="preserve"> </w:t>
      </w:r>
      <w:r>
        <w:t xml:space="preserve">record — the owned test, the approval trail, the POA&amp;M — into that fabric via the same evidence contract every native stack emits to. Coordination plane feeds truth plane; it does not become it.</w:t>
      </w:r>
    </w:p>
    <w:bookmarkEnd w:id="14"/>
    <w:bookmarkStart w:id="15" w:name="X76e1d30dbf7ee5a3d90911ab768ea2dddcff081"/>
    <w:p>
      <w:pPr>
        <w:pStyle w:val="Heading1"/>
      </w:pPr>
      <w:r>
        <w:t xml:space="preserve">6. One Pipeline, Every Estate — the Phase 5 Seam</w:t>
      </w:r>
    </w:p>
    <w:p>
      <w:pPr>
        <w:pStyle w:val="FirstParagraph"/>
      </w:pPr>
      <w:r>
        <w:t xml:space="preserve">The attestation loop this book defines is estate-agnostic by construction, and</w:t>
      </w:r>
      <w:r>
        <w:t xml:space="preserve"> </w:t>
      </w:r>
      <w:r>
        <w:t xml:space="preserve">Phase 5 makes that concrete: the</w:t>
      </w:r>
      <w:r>
        <w:t xml:space="preserve"> </w:t>
      </w:r>
      <w:r>
        <w:rPr>
          <w:b/>
          <w:bCs/>
        </w:rPr>
        <w:t xml:space="preserve">RedHat-on-AWS estate’s control state enters</w:t>
      </w:r>
      <w:r>
        <w:rPr>
          <w:b/>
          <w:bCs/>
        </w:rPr>
        <w:t xml:space="preserve"> </w:t>
      </w:r>
      <w:r>
        <w:rPr>
          <w:b/>
          <w:bCs/>
        </w:rPr>
        <w:t xml:space="preserve">this same pipeline</w:t>
      </w:r>
      <w:r>
        <w:t xml:space="preserve">, not a parallel one. The Patch &amp; Systems Management book’s</w:t>
      </w:r>
      <w:r>
        <w:t xml:space="preserve"> </w:t>
      </w:r>
      <w:r>
        <w:t xml:space="preserve">Phase 5 emission contract delivers AWS remediation records into the same SI-2</w:t>
      </w:r>
      <w:r>
        <w:t xml:space="preserve"> </w:t>
      </w:r>
      <w:r>
        <w:t xml:space="preserve">task stream this book attests over; the AWS assessment feed ranks in the same</w:t>
      </w:r>
      <w:r>
        <w:t xml:space="preserve"> </w:t>
      </w:r>
      <w:r>
        <w:t xml:space="preserve">RA-5 queue; Security Hub and GuardDuty telemetry lands in the same Evidence</w:t>
      </w:r>
      <w:r>
        <w:t xml:space="preserve"> </w:t>
      </w:r>
      <w:r>
        <w:t xml:space="preserve">Fabric the KSI emit reads. An assessed control is assessed over the</w:t>
      </w:r>
      <w:r>
        <w:t xml:space="preserve"> </w:t>
      </w:r>
      <w:r>
        <w:rPr>
          <w:i/>
          <w:iCs/>
        </w:rPr>
        <w:t xml:space="preserve">whole</w:t>
      </w:r>
      <w:r>
        <w:t xml:space="preserve"> </w:t>
      </w:r>
      <w:r>
        <w:t xml:space="preserve">estate keyed to the one CM-8 join key — there is no AWS attestation narrative,</w:t>
      </w:r>
      <w:r>
        <w:t xml:space="preserve"> </w:t>
      </w:r>
      <w:r>
        <w:t xml:space="preserve">no second scorecard, and no per-cloud OSCAL package. That is the epic’s closing</w:t>
      </w:r>
      <w:r>
        <w:t xml:space="preserve"> </w:t>
      </w:r>
      <w:r>
        <w:t xml:space="preserve">invariant, and this book is where it holds.</w:t>
      </w:r>
    </w:p>
    <w:bookmarkEnd w:id="15"/>
    <w:bookmarkStart w:id="18" w:name="closure-necessity"/>
    <w:p>
      <w:pPr>
        <w:pStyle w:val="Heading1"/>
      </w:pPr>
      <w:r>
        <w:t xml:space="preserve">7. Closure Necessity</w:t>
      </w:r>
    </w:p>
    <w:bookmarkStart w:id="16" w:name="Xbd69097c28de438691d80efe1582ca0cac51e31"/>
    <w:p>
      <w:pPr>
        <w:pStyle w:val="Heading2"/>
      </w:pPr>
      <w:r>
        <w:t xml:space="preserve">7.1 Closure Provenance — the doctrine this pipeline enforces</w:t>
      </w:r>
    </w:p>
    <w:p>
      <w:pPr>
        <w:pStyle w:val="FirstParagraph"/>
      </w:pPr>
      <w:r>
        <w:t xml:space="preserve">Book 00’s</w:t>
      </w:r>
      <w:r>
        <w:t xml:space="preserve"> </w:t>
      </w:r>
      <w:r>
        <w:rPr>
          <w:b/>
          <w:bCs/>
        </w:rPr>
        <w:t xml:space="preserve">Closure Provenance Doctrine</w:t>
      </w:r>
      <w:r>
        <w:t xml:space="preserve"> </w:t>
      </w:r>
      <w:r>
        <w:t xml:space="preserve">is the law this book mechanizes:</w:t>
      </w:r>
      <w:r>
        <w:t xml:space="preserve"> </w:t>
      </w:r>
      <w:r>
        <w:rPr>
          <w:i/>
          <w:iCs/>
        </w:rPr>
        <w:t xml:space="preserve">no</w:t>
      </w:r>
      <w:r>
        <w:rPr>
          <w:i/>
          <w:iCs/>
        </w:rPr>
        <w:t xml:space="preserve"> </w:t>
      </w:r>
      <w:r>
        <w:rPr>
          <w:i/>
          <w:iCs/>
        </w:rPr>
        <w:t xml:space="preserve">closure counts unless it carries its proof.</w:t>
      </w:r>
      <w:r>
        <w:t xml:space="preserve"> </w:t>
      </w:r>
      <w:r>
        <w:t xml:space="preserve">Every stage of the pipeline above</w:t>
      </w:r>
      <w:r>
        <w:t xml:space="preserve"> </w:t>
      </w:r>
      <w:r>
        <w:t xml:space="preserve">is a provenance stage — the control test attaches the posture evidence it</w:t>
      </w:r>
      <w:r>
        <w:t xml:space="preserve"> </w:t>
      </w:r>
      <w:r>
        <w:t xml:space="preserve">read; the POA&amp;M item closes only on passing re-test evidence; the emit step</w:t>
      </w:r>
      <w:r>
        <w:t xml:space="preserve"> </w:t>
      </w:r>
      <w:r>
        <w:t xml:space="preserve">publishes machine-readable results, not summaries. The task streams this book</w:t>
      </w:r>
      <w:r>
        <w:t xml:space="preserve"> </w:t>
      </w:r>
      <w:r>
        <w:t xml:space="preserve">reads (Books 02/03 and the day-2 catalog lanes) honor the same rule at the</w:t>
      </w:r>
      <w:r>
        <w:t xml:space="preserve"> </w:t>
      </w:r>
      <w:r>
        <w:t xml:space="preserve">task level: a closing update carries its verification payload, and human-only</w:t>
      </w:r>
      <w:r>
        <w:t xml:space="preserve"> </w:t>
      </w:r>
      <w:r>
        <w:t xml:space="preserve">closures are flagged and counted separately — an attestation over unverified</w:t>
      </w:r>
      <w:r>
        <w:t xml:space="preserve"> </w:t>
      </w:r>
      <w:r>
        <w:t xml:space="preserve">closures would attest fiction, and a report that cannot be regenerated from</w:t>
      </w:r>
      <w:r>
        <w:t xml:space="preserve"> </w:t>
      </w:r>
      <w:r>
        <w:t xml:space="preserve">the closure stream is an artifact of effort, not of state. The day-2 scoped</w:t>
      </w:r>
      <w:r>
        <w:t xml:space="preserve"> </w:t>
      </w:r>
      <w:r>
        <w:t xml:space="preserve">app implements the closure rules (see</w:t>
      </w:r>
      <w:r>
        <w:t xml:space="preserve"> </w:t>
      </w:r>
      <w:r>
        <w:rPr>
          <w:rStyle w:val="VerbatimChar"/>
        </w:rPr>
        <w:t xml:space="preserve">servicenow-day2/README.md</w:t>
      </w:r>
      <w:r>
        <w:t xml:space="preserve">).</w:t>
      </w:r>
    </w:p>
    <w:bookmarkEnd w:id="16"/>
    <w:bookmarkStart w:id="17" w:name="X0f5e8be3dead476d4f4ce9bb9cdcb59dcdd5d0a"/>
    <w:p>
      <w:pPr>
        <w:pStyle w:val="Heading2"/>
      </w:pPr>
      <w:r>
        <w:t xml:space="preserve">7.2 Closure Necessity — an unattested control is a claim, not a control</w:t>
      </w:r>
    </w:p>
    <w:p>
      <w:pPr>
        <w:pStyle w:val="FirstParagraph"/>
      </w:pPr>
      <w:r>
        <w:t xml:space="preserve">Books 02 and 03 make M365 and Azure controls</w:t>
      </w:r>
      <w:r>
        <w:t xml:space="preserve"> </w:t>
      </w:r>
      <w:r>
        <w:rPr>
          <w:i/>
          <w:iCs/>
        </w:rPr>
        <w:t xml:space="preserve">operate</w:t>
      </w:r>
      <w:r>
        <w:t xml:space="preserve">; this book makes them</w:t>
      </w:r>
      <w:r>
        <w:t xml:space="preserve"> </w:t>
      </w:r>
      <w:r>
        <w:rPr>
          <w:i/>
          <w:iCs/>
        </w:rPr>
        <w:t xml:space="preserve">assessable</w:t>
      </w:r>
      <w:r>
        <w:t xml:space="preserve">. Without the attestation stage, the authorization package is a static document that describes controls no one has tested against live posture, and the FedRAMP 20x KSI feed has no workflow-attested input. CA-2, CA-5, and CA-7 are not closed by a dashboard — they are closed by an owned test, an owned gap, and a machine-readable emit that an authorizing official and a KSI scorer can both consume. Remove this book and the coordination layer produces tidy tasks that never reach the AO.</w:t>
      </w:r>
    </w:p>
    <w:bookmarkEnd w:id="17"/>
    <w:bookmarkEnd w:id="18"/>
    <w:bookmarkStart w:id="19" w:name="Xebd9fbc0874ac437cee95afe649484f9b290fc1"/>
    <w:p>
      <w:pPr>
        <w:pStyle w:val="Heading1"/>
      </w:pPr>
      <w:r>
        <w:t xml:space="preserve">8. NIST SP 800-53 Rev 5 Control Closure — Authorities Closed Here</w:t>
      </w:r>
    </w:p>
    <w:p>
      <w:pPr>
        <w:pStyle w:val="FirstParagraph"/>
      </w:pPr>
      <w:r>
        <w:t xml:space="preserve">Generated from the series compliance spine (</w:t>
      </w:r>
      <w:r>
        <w:rPr>
          <w:rStyle w:val="VerbatimChar"/>
        </w:rPr>
        <w:t xml:space="preserve">federal-compliance-compliance-spine.yml</w:t>
      </w:r>
      <w:r>
        <w:t xml:space="preserve">) by</w:t>
      </w:r>
      <w:r>
        <w:t xml:space="preserve"> </w:t>
      </w:r>
      <w:r>
        <w:rPr>
          <w:rStyle w:val="VerbatimChar"/>
        </w:rPr>
        <w:t xml:space="preserve">render_authorities_table.py</w:t>
      </w:r>
      <w:r>
        <w:t xml:space="preserve">; not hand-edited here.</w:t>
      </w:r>
    </w:p>
    <w:p>
      <w:pPr>
        <w:pStyle w:val="TableCaption"/>
      </w:pPr>
      <w:r>
        <w:t xml:space="preserve">Authorities Closed Here — Control Attestation, Evidence &amp; KSI († = Closure-Necessity anchor: no alternate closure path)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Authorities Closed Here — Control Attestation, Evidence &amp; KSI († = Closure-Necessity anchor: no alternate closure path)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Closing mechanism (function, not product)</w:t>
            </w:r>
          </w:p>
        </w:tc>
        <w:tc>
          <w:tcPr/>
          <w:p>
            <w:pPr>
              <w:pStyle w:val="Compact"/>
            </w:pPr>
            <w:r>
              <w:t xml:space="preserve">Accreditation gate</w:t>
            </w:r>
          </w:p>
        </w:tc>
        <w:tc>
          <w:tcPr/>
          <w:p>
            <w:pPr>
              <w:pStyle w:val="Compact"/>
            </w:pPr>
            <w:r>
              <w:t xml:space="preserve">Authority drivers</w:t>
            </w:r>
          </w:p>
        </w:tc>
        <w:tc>
          <w:tcPr/>
          <w:p>
            <w:pPr>
              <w:pStyle w:val="Compact"/>
            </w:pPr>
            <w:r>
              <w:t xml:space="preserve">Evidence slot</w:t>
            </w:r>
          </w:p>
        </w:tc>
        <w:tc>
          <w:tcPr/>
          <w:p>
            <w:pPr>
              <w:pStyle w:val="Compact"/>
            </w:pPr>
            <w:r>
              <w:t xml:space="preserve">FedRAMP 20x KSI</w:t>
            </w:r>
          </w:p>
        </w:tc>
        <w:tc>
          <w:tcPr/>
          <w:p>
            <w:pPr>
              <w:pStyle w:val="Compact"/>
            </w:pPr>
            <w:r>
              <w:t xml:space="preserve">Tool-attestable?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CA-2</w:t>
            </w:r>
          </w:p>
        </w:tc>
        <w:tc>
          <w:tcPr/>
          <w:p>
            <w:pPr>
              <w:pStyle w:val="Compact"/>
            </w:pPr>
            <w:r>
              <w:t xml:space="preserve">Control Assessments</w:t>
            </w:r>
          </w:p>
        </w:tc>
        <w:tc>
          <w:tcPr/>
          <w:p>
            <w:pPr>
              <w:pStyle w:val="Compact"/>
            </w:pPr>
            <w:r>
              <w:t xml:space="preserve">ServiceNow IRM/GRC control tests and evidence tasks produce assessed control state feeding the authorization package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</w:t>
            </w:r>
          </w:p>
        </w:tc>
        <w:tc>
          <w:tcPr/>
          <w:p>
            <w:pPr>
              <w:pStyle w:val="Compact"/>
            </w:pPr>
            <w:r>
              <w:t xml:space="preserve">Telemetry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CA-5</w:t>
            </w:r>
          </w:p>
        </w:tc>
        <w:tc>
          <w:tcPr/>
          <w:p>
            <w:pPr>
              <w:pStyle w:val="Compact"/>
            </w:pPr>
            <w:r>
              <w:t xml:space="preserve">Plan of Action and Milestones</w:t>
            </w:r>
          </w:p>
        </w:tc>
        <w:tc>
          <w:tcPr/>
          <w:p>
            <w:pPr>
              <w:pStyle w:val="Compact"/>
            </w:pPr>
            <w:r>
              <w:t xml:space="preserve">POA&amp;M items tracked as ServiceNow IRM issues/tasks with owner, milestone, and closure evidence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OMB Circular A-130</w:t>
            </w:r>
          </w:p>
        </w:tc>
        <w:tc>
          <w:tcPr/>
          <w:p>
            <w:pPr>
              <w:pStyle w:val="Compact"/>
            </w:pPr>
            <w:r>
              <w:t xml:space="preserve">Security / supply chain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CA-7</w:t>
            </w:r>
          </w:p>
        </w:tc>
        <w:tc>
          <w:tcPr/>
          <w:p>
            <w:pPr>
              <w:pStyle w:val="Compact"/>
            </w:pPr>
            <w:r>
              <w:t xml:space="preserve">Continuous Monitoring</w:t>
            </w:r>
          </w:p>
        </w:tc>
        <w:tc>
          <w:tcPr/>
          <w:p>
            <w:pPr>
              <w:pStyle w:val="Compact"/>
            </w:pPr>
            <w:r>
              <w:t xml:space="preserve">Compliance posture rolled up in ServiceNow and emitted as OSCAL/KSI evidence into the ConMon package (Vol IV Book 06 / Vol VI Book 07)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NIST SP 800-137; CISA CDM; FedRAMP 20x KSIs</w:t>
            </w:r>
          </w:p>
        </w:tc>
        <w:tc>
          <w:tcPr/>
          <w:p>
            <w:pPr>
              <w:pStyle w:val="Compact"/>
            </w:pPr>
            <w:r>
              <w:t xml:space="preserve">Telemetry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bookmarkEnd w:id="19"/>
    <w:bookmarkStart w:id="20" w:name="honest-limits"/>
    <w:p>
      <w:pPr>
        <w:pStyle w:val="Heading1"/>
      </w:pPr>
      <w:r>
        <w:t xml:space="preserve">9. Honest Limits</w:t>
      </w:r>
    </w:p>
    <w:p>
      <w:pPr>
        <w:pStyle w:val="Compact"/>
        <w:numPr>
          <w:ilvl w:val="0"/>
          <w:numId w:val="1002"/>
        </w:numPr>
      </w:pPr>
      <w:r>
        <w:t xml:space="preserve">An attestation is only as strong as the test behind it; a control test that reads a shallow posture signal attests shallowly. Test depth is co-owned with Vol VI Book 08 (validation harnesses) — the attestation inherits that book’s coverage, good or bad.</w:t>
      </w:r>
    </w:p>
    <w:p>
      <w:pPr>
        <w:pStyle w:val="Compact"/>
        <w:numPr>
          <w:ilvl w:val="0"/>
          <w:numId w:val="1002"/>
        </w:numPr>
      </w:pPr>
      <w:r>
        <w:t xml:space="preserve">ServiceNow IRM produces the workflow-attested record; the authoritative OSCAL SSP and the KSI score live downstream (Vol IV Book 06, Vol VI Book 07). This book emits</w:t>
      </w:r>
      <w:r>
        <w:t xml:space="preserve"> </w:t>
      </w:r>
      <w:r>
        <w:rPr>
          <w:i/>
          <w:iCs/>
        </w:rPr>
        <w:t xml:space="preserve">into</w:t>
      </w:r>
      <w:r>
        <w:t xml:space="preserve"> </w:t>
      </w:r>
      <w:r>
        <w:t xml:space="preserve">them, and must not fork a second authorization narrative.</w:t>
      </w:r>
    </w:p>
    <w:p>
      <w:pPr>
        <w:pStyle w:val="Compact"/>
        <w:numPr>
          <w:ilvl w:val="0"/>
          <w:numId w:val="1002"/>
        </w:numPr>
      </w:pPr>
      <w:r>
        <w:t xml:space="preserve">Continuous authorization is a discipline, not a feature: the emit is only continuous if the tests run on cadence and the POA&amp;M is worked. An idle IRM module produces a stale attestation that reads worse than an honest annual one.</w:t>
      </w:r>
    </w:p>
    <w:bookmarkEnd w:id="20"/>
    <w:bookmarkStart w:id="21" w:name="cross-references"/>
    <w:p>
      <w:pPr>
        <w:pStyle w:val="Heading1"/>
      </w:pPr>
      <w:r>
        <w:t xml:space="preserve">10. Cross-References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  <w:b/>
          <w:bCs/>
        </w:rPr>
        <w:t xml:space="preserve">federal-compliance-compliance-spine.yml</w:t>
      </w:r>
      <w:r>
        <w:t xml:space="preserve"> </w:t>
      </w:r>
      <w:r>
        <w:t xml:space="preserve">— the SSOT control-to-evidence binding the IRM control map projects.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IV Book 06 (Authorization Package &amp; ConMon)</w:t>
      </w:r>
      <w:r>
        <w:t xml:space="preserve"> </w:t>
      </w:r>
      <w:r>
        <w:t xml:space="preserve">— the OSCAL package this book emits into.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VI Book 07 (Evidence &amp; ConMon Pipeline)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Vol III Book 07 (Evidence Fabric)</w:t>
      </w:r>
      <w:r>
        <w:t xml:space="preserve"> </w:t>
      </w:r>
      <w:r>
        <w:t xml:space="preserve">— the KSI/CDM pipeline this book’s attestations feed.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VII Book 02 / 03</w:t>
      </w:r>
      <w:r>
        <w:t xml:space="preserve"> </w:t>
      </w:r>
      <w:r>
        <w:t xml:space="preserve">— the M365 and Azure task streams this book attests over.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III Book 03 (Patch &amp; Systems Management), Phase 5</w:t>
      </w:r>
      <w:r>
        <w:t xml:space="preserve"> </w:t>
      </w:r>
      <w:r>
        <w:t xml:space="preserve">— the RedHat-on-AWS emission contract and assessment feed whose records this book attests alongside the M365/Azure streams.</w:t>
      </w:r>
    </w:p>
    <w:bookmarkEnd w:id="21"/>
    <w:bookmarkStart w:id="23" w:name="provenance"/>
    <w:p>
      <w:pPr>
        <w:pStyle w:val="Heading1"/>
      </w:pPr>
      <w:r>
        <w:t xml:space="preserve">11. Provenance</w:t>
      </w:r>
    </w:p>
    <w:p>
      <w:pPr>
        <w:pStyle w:val="FirstParagraph"/>
      </w:pPr>
      <w:r>
        <w:t xml:space="preserve">Draft. ServiceNow IRM/GRC, OSCAL, and the FedRAMP 20x KSI pipeline are deployed examples of the attestation-and-emit mechanism; the spine-as-SSOT and coordination-feeds-truth disciplines are the invariants. Vendor-source citations for the ServiceNow IRM/GRC capability claims are pending, and once added remain dated, not permanent — see the</w:t>
      </w:r>
      <w:r>
        <w:t xml:space="preserve"> </w:t>
      </w:r>
      <w:hyperlink r:id="rId22">
        <w:r>
          <w:rPr>
            <w:rStyle w:val="Hyperlink"/>
          </w:rPr>
          <w:t xml:space="preserve">Vendor Currency Doctrine</w:t>
        </w:r>
      </w:hyperlink>
      <w:r>
        <w:t xml:space="preserve">; FedRAMP 20x tooling in particular (e.g. ServiceNow-native KSI products) is moving fast enough that this book’s own claims should be re-verified before use in a Project Plan. The attestation-pipeline figure is authored as committed house-style SVG (rasterized to PNG).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Vol_0_Book_00_Executive_Summary.md#vendor-currenc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Vol_0_Book_00_Executive_Summary.md#vendor-currenc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VII Book 04 — Federal Compliance — Control Attestation, Evidence &amp; KSI</dc:title>
  <dc:creator>Federal Cloud Services</dc:creator>
  <cp:keywords/>
  <dcterms:created xsi:type="dcterms:W3CDTF">2026-10-19T10:10:18Z</dcterms:created>
  <dcterms:modified xsi:type="dcterms:W3CDTF">2026-10-19T10:10:18Z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2026-07-21 11:38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From tracked task to assessed control: IRM/GRC control tests, POA&amp;M, and the OSCAL/KSI feed into the authorization package</vt:lpwstr>
  </property>
  <property fmtid="{D5CDD505-2E9C-101B-9397-08002B2CF9AE}" pid="16" name="toc-title">
    <vt:lpwstr>Table of contents</vt:lpwstr>
  </property>
</Properties>
</file>