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VII Book 05 — Federal Compliance — The ServiceNow Compliance App</w:t>
      </w:r>
    </w:p>
    <w:p>
      <w:pPr>
        <w:pStyle w:val="Subtitle"/>
      </w:pPr>
      <w:r>
        <w:t xml:space="preserve">The deployable artifact: a scoped app with connectors, Flows, catalog items, ATF tests, and one assemblable update set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2026-07-18 04:33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2026-07-18 00:33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VII Book 05. The deployable counterpart to Books 00–04: a scoped ServiceNow app that carries the connectors, Flows, catalog items, control map, ATF tests, and update set implementing the coordination loop. It generalizes the in-repo DDI-provisioning app skeleton (</w:t>
      </w:r>
      <w:r>
        <w:rPr>
          <w:rStyle w:val="VerbatimChar"/>
        </w:rPr>
        <w:t xml:space="preserve">infoblox-ddi-book/servicenow-app/</w:t>
      </w:r>
      <w:r>
        <w:t xml:space="preserve">) from</w:t>
      </w:r>
      <w:r>
        <w:t xml:space="preserve"> </w:t>
      </w:r>
      <w:r>
        <w:rPr>
          <w:i/>
          <w:iCs/>
        </w:rPr>
        <w:t xml:space="preserve">provisioning</w:t>
      </w:r>
      <w:r>
        <w:t xml:space="preserve"> </w:t>
      </w:r>
      <w:r>
        <w:t xml:space="preserve">to</w:t>
      </w:r>
      <w:r>
        <w:t xml:space="preserve"> </w:t>
      </w:r>
      <w:r>
        <w:rPr>
          <w:i/>
          <w:iCs/>
        </w:rPr>
        <w:t xml:space="preserve">control compliance</w:t>
      </w:r>
      <w:r>
        <w:t xml:space="preserve"> </w:t>
      </w:r>
      <w:r>
        <w:t xml:space="preserve">— same boundary discipline (in-boundary MID Server, FedRAMP-authorized instance, machine-readable + CI-checked artifacts), new purpose.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Books 00–04 describe the coordination loop as doctrine and control mapping. This book is the artifact that runs it: a scoped app an admin can import into a sub-production instance, wire to the M365 and Azure surfaces through an in-boundary MID Server, and stand up — rather than hand-build from prose. It follows the series’</w:t>
      </w:r>
      <w:r>
        <w:t xml:space="preserve"> </w:t>
      </w:r>
      <w:r>
        <w:rPr>
          <w:i/>
          <w:iCs/>
        </w:rPr>
        <w:t xml:space="preserve">everything-as-code</w:t>
      </w:r>
      <w:r>
        <w:t xml:space="preserve"> </w:t>
      </w:r>
      <w:r>
        <w:t xml:space="preserve">rule (Vol VI Book 00): the app is an importable update set, its control map is machine-readable data, and its behavior is covered by runnable ATF tests.</w:t>
      </w:r>
    </w:p>
    <w:p>
      <w:pPr>
        <w:pStyle w:val="BodyText"/>
      </w:pPr>
      <w:r>
        <w:rPr>
          <w:b/>
          <w:bCs/>
        </w:rPr>
        <w:t xml:space="preserve">Starter skeleton, not a signed product.</w:t>
      </w:r>
      <w:r>
        <w:t xml:space="preserve"> </w:t>
      </w:r>
      <w:r>
        <w:t xml:space="preserve">The scoped app described here ships as an importable DRAFT skeleton at</w:t>
      </w:r>
      <w:r>
        <w:t xml:space="preserve"> </w:t>
      </w:r>
      <w:r>
        <w:rPr>
          <w:rStyle w:val="VerbatimChar"/>
        </w:rPr>
        <w:t xml:space="preserve">x_fed_compliance/</w:t>
      </w:r>
      <w:r>
        <w:t xml:space="preserve"> </w:t>
      </w:r>
      <w:r>
        <w:t xml:space="preserve">— Script Includes, control map (CI-validated against the spine by</w:t>
      </w:r>
      <w:r>
        <w:t xml:space="preserve"> </w:t>
      </w:r>
      <w:r>
        <w:rPr>
          <w:rStyle w:val="VerbatimChar"/>
        </w:rPr>
        <w:t xml:space="preserve">validate_day2_control_maps.py</w:t>
      </w:r>
      <w:r>
        <w:t xml:space="preserve">), Flow blueprints, MID validate script, ATF spec, and update-set spec — registered in the spine’s</w:t>
      </w:r>
      <w:r>
        <w:t xml:space="preserve"> </w:t>
      </w:r>
      <w:r>
        <w:rPr>
          <w:rStyle w:val="VerbatimChar"/>
        </w:rPr>
        <w:t xml:space="preserve">kits:</w:t>
      </w:r>
      <w:r>
        <w:t xml:space="preserve"> </w:t>
      </w:r>
      <w:r>
        <w:t xml:space="preserve">section so the distribution kit bundles it automatically. Review the records, complete the connector credential aliases and the control map per tenant, pin API versions, and test in a sub-prod instance before any production use. This mirrors the disposition of the DDI app skeleton and the day-2 kit.</w:t>
      </w:r>
    </w:p>
    <w:bookmarkEnd w:id="10"/>
    <w:bookmarkStart w:id="11" w:name="app-record-model"/>
    <w:p>
      <w:pPr>
        <w:pStyle w:val="Heading1"/>
      </w:pPr>
      <w:r>
        <w:t xml:space="preserve">2. App Record Model</w:t>
      </w:r>
    </w:p>
    <w:p>
      <w:pPr>
        <w:pStyle w:val="FirstParagraph"/>
      </w:pPr>
      <w:r>
        <w:t xml:space="preserve">The scoped app is</w:t>
      </w:r>
      <w:r>
        <w:t xml:space="preserve"> </w:t>
      </w:r>
      <w:r>
        <w:rPr>
          <w:rStyle w:val="VerbatimChar"/>
        </w:rPr>
        <w:t xml:space="preserve">x_fed_compliance</w:t>
      </w:r>
      <w:r>
        <w:t xml:space="preserve">. Its records implement the five-step loop (test → detect → raise → actuate-native → close+evidence) as reusable ServiceNow building blocks.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Path (in the app)</w:t>
            </w:r>
          </w:p>
        </w:tc>
        <w:tc>
          <w:tcPr/>
          <w:p>
            <w:pPr>
              <w:pStyle w:val="Compact"/>
            </w:pPr>
            <w:r>
              <w:t xml:space="preserve">Record / artifact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script-includes/ComplianceIngest.js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sys_script_include</w:t>
            </w:r>
          </w:p>
        </w:tc>
        <w:tc>
          <w:tcPr/>
          <w:p>
            <w:pPr>
              <w:pStyle w:val="Compact"/>
            </w:pPr>
            <w:r>
              <w:t xml:space="preserve">Server-side reader — pulls M365 (Graph/SCuBA/Purview) and Azure (Resource Graph / Defender / Update Manager) control state via the MID-routed REST messages; normalizes to a control-finding shape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script-includes/ComplianceReconcile.js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sys_script_include</w:t>
            </w:r>
          </w:p>
        </w:tc>
        <w:tc>
          <w:tcPr/>
          <w:p>
            <w:pPr>
              <w:pStyle w:val="Compact"/>
            </w:pPr>
            <w:r>
              <w:t xml:space="preserve">Matches each finding’s asset to the authoritative IPAM/DDI CI (CM-8 join) before a task is raised; routes unmatched assets to the reconcile-exception queue (Vol VII Book 01)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script-includes/ComplianceGate.js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sys_script_include</w:t>
            </w:r>
          </w:p>
        </w:tc>
        <w:tc>
          <w:tcPr/>
          <w:p>
            <w:pPr>
              <w:pStyle w:val="Compact"/>
            </w:pPr>
            <w:r>
              <w:t xml:space="preserve">Post-actuation validation — re-reads the native surface, confirms closure, and stamps the re-test evidence on the task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rest/</w:t>
            </w:r>
            <w:r>
              <w:t xml:space="preserve"> </w:t>
            </w:r>
            <w:r>
              <w:t xml:space="preserve">(spec —</w:t>
            </w:r>
            <w:r>
              <w:t xml:space="preserve"> </w:t>
            </w:r>
            <w:r>
              <w:rPr>
                <w:rStyle w:val="VerbatimChar"/>
              </w:rPr>
              <w:t xml:space="preserve">rest/README.md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sys_rest_message</w:t>
            </w:r>
            <w:r>
              <w:t xml:space="preserve"> </w:t>
            </w:r>
            <w:r>
              <w:t xml:space="preserve">(+</w:t>
            </w:r>
            <w:r>
              <w:t xml:space="preserve"> </w:t>
            </w:r>
            <w:r>
              <w:rPr>
                <w:rStyle w:val="VerbatimChar"/>
              </w:rPr>
              <w:t xml:space="preserve">_fn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Outbound REST to Microsoft Graph and Azure Resource Manager — endpoint/auth from a credential alias,</w:t>
            </w:r>
            <w:r>
              <w:t xml:space="preserve"> </w:t>
            </w:r>
            <w:r>
              <w:rPr>
                <w:b/>
                <w:bCs/>
              </w:rPr>
              <w:t xml:space="preserve">routed via the MID Server</w:t>
            </w:r>
            <w:r>
              <w:t xml:space="preserve">. Exported per tenant per</w:t>
            </w:r>
            <w:r>
              <w:t xml:space="preserve"> </w:t>
            </w:r>
            <w:r>
              <w:rPr>
                <w:rStyle w:val="VerbatimChar"/>
              </w:rPr>
              <w:t xml:space="preserve">rest/README.md</w:t>
            </w:r>
            <w:r>
              <w:t xml:space="preserve">; the XML is deliberately not committed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data/control-map.json</w:t>
            </w:r>
          </w:p>
        </w:tc>
        <w:tc>
          <w:tcPr/>
          <w:p>
            <w:pPr>
              <w:pStyle w:val="Compact"/>
            </w:pPr>
            <w:r>
              <w:t xml:space="preserve">app data (machine-readable)</w:t>
            </w:r>
          </w:p>
        </w:tc>
        <w:tc>
          <w:tcPr/>
          <w:p>
            <w:pPr>
              <w:pStyle w:val="Compact"/>
            </w:pPr>
            <w:r>
              <w:t xml:space="preserve">The finding→(control, task type, approval, actuation, KSI slot) binding — a projection of</w:t>
            </w:r>
            <w:r>
              <w:t xml:space="preserve"> </w:t>
            </w:r>
            <w:r>
              <w:rPr>
                <w:rStyle w:val="VerbatimChar"/>
              </w:rPr>
              <w:t xml:space="preserve">federal-compliance-compliance-spine.yml</w:t>
            </w:r>
            <w:r>
              <w:t xml:space="preserve">; CI-checked against the spine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flow/flow-blueprint.md</w:t>
            </w:r>
          </w:p>
        </w:tc>
        <w:tc>
          <w:tcPr/>
          <w:p>
            <w:pPr>
              <w:pStyle w:val="Compact"/>
            </w:pPr>
            <w:r>
              <w:t xml:space="preserve">Flow Designer blueprint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“Detect &amp; Route Control Drift”</w:t>
            </w:r>
            <w:r>
              <w:t xml:space="preserve"> </w:t>
            </w:r>
            <w:r>
              <w:t xml:space="preserve">flow, the exception-review flow, and the attestation-emit job, with inline Action scripts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mid/compliance-validate.sh</w:t>
            </w:r>
          </w:p>
        </w:tc>
        <w:tc>
          <w:tcPr/>
          <w:p>
            <w:pPr>
              <w:pStyle w:val="Compact"/>
            </w:pPr>
            <w:r>
              <w:t xml:space="preserve">MID Server script</w:t>
            </w:r>
          </w:p>
        </w:tc>
        <w:tc>
          <w:tcPr/>
          <w:p>
            <w:pPr>
              <w:pStyle w:val="Compact"/>
            </w:pPr>
            <w:r>
              <w:t xml:space="preserve">Runs the per-surface read/validate scripts on the in-boundary MID host; emits one JSON verdict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atf/</w:t>
            </w:r>
            <w:r>
              <w:t xml:space="preserve"> </w:t>
            </w:r>
            <w:r>
              <w:t xml:space="preserve">(spec —</w:t>
            </w:r>
            <w:r>
              <w:t xml:space="preserve"> </w:t>
            </w:r>
            <w:r>
              <w:rPr>
                <w:rStyle w:val="VerbatimChar"/>
              </w:rPr>
              <w:t xml:space="preserve">atf/README.md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ATF test suites</w:t>
            </w:r>
          </w:p>
        </w:tc>
        <w:tc>
          <w:tcPr/>
          <w:p>
            <w:pPr>
              <w:pStyle w:val="Compact"/>
            </w:pPr>
            <w:r>
              <w:t xml:space="preserve">Happy-path (drift→task→close→evidence) + negative (unreconciled asset, self-approval block, SLA breach escalation), runnable via</w:t>
            </w:r>
            <w:r>
              <w:t xml:space="preserve"> </w:t>
            </w:r>
            <w:r>
              <w:rPr>
                <w:rStyle w:val="VerbatimChar"/>
              </w:rPr>
              <w:t xml:space="preserve">test_mode</w:t>
            </w:r>
            <w:r>
              <w:t xml:space="preserve"> </w:t>
            </w:r>
            <w:r>
              <w:t xml:space="preserve">with no live cloud. Built per</w:t>
            </w:r>
            <w:r>
              <w:t xml:space="preserve"> </w:t>
            </w:r>
            <w:r>
              <w:rPr>
                <w:rStyle w:val="VerbatimChar"/>
              </w:rPr>
              <w:t xml:space="preserve">atf/README.md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update-set/</w:t>
            </w:r>
            <w:r>
              <w:t xml:space="preserve"> </w:t>
            </w:r>
            <w:r>
              <w:t xml:space="preserve">(spec —</w:t>
            </w:r>
            <w:r>
              <w:t xml:space="preserve"> </w:t>
            </w:r>
            <w:r>
              <w:rPr>
                <w:rStyle w:val="VerbatimChar"/>
              </w:rPr>
              <w:t xml:space="preserve">update-set/README.md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update set</w:t>
            </w:r>
          </w:p>
        </w:tc>
        <w:tc>
          <w:tcPr/>
          <w:p>
            <w:pPr>
              <w:pStyle w:val="Compact"/>
            </w:pPr>
            <w:r>
              <w:t xml:space="preserve">The whole app assembled into one importable XML — assembled in sub-prod per</w:t>
            </w:r>
            <w:r>
              <w:t xml:space="preserve"> </w:t>
            </w:r>
            <w:r>
              <w:rPr>
                <w:rStyle w:val="VerbatimChar"/>
              </w:rPr>
              <w:t xml:space="preserve">update-set/README.md</w:t>
            </w:r>
            <w:r>
              <w:t xml:space="preserve">; the XML is deliberately not committed</w:t>
            </w:r>
          </w:p>
        </w:tc>
      </w:tr>
    </w:tbl>
    <w:bookmarkEnd w:id="11"/>
    <w:bookmarkStart w:id="12" w:name="connectors-prerequisites"/>
    <w:p>
      <w:pPr>
        <w:pStyle w:val="Heading1"/>
      </w:pPr>
      <w:r>
        <w:t xml:space="preserve">3. Connectors &amp; Prerequisites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Microsoft Graph</w:t>
      </w:r>
      <w:r>
        <w:t xml:space="preserve"> </w:t>
      </w:r>
      <w:r>
        <w:t xml:space="preserve">app registration (or managed identity) with</w:t>
      </w:r>
      <w:r>
        <w:t xml:space="preserve"> </w:t>
      </w:r>
      <w:r>
        <w:rPr>
          <w:b/>
          <w:bCs/>
        </w:rPr>
        <w:t xml:space="preserve">read</w:t>
      </w:r>
      <w:r>
        <w:t xml:space="preserve"> </w:t>
      </w:r>
      <w:r>
        <w:t xml:space="preserve">over Conditional Access, directory, and secure-configuration state, plus the narrowly-scoped write used only for approved, logged remediations — never standing tenant admin.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Azure Resource Manager / Defender / Update Manager</w:t>
      </w:r>
      <w:r>
        <w:t xml:space="preserve"> </w:t>
      </w:r>
      <w:r>
        <w:t xml:space="preserve">read via a scoped service principal or managed identity per subscription.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MID Server registered inside the ATO boundary</w:t>
      </w:r>
      <w:r>
        <w:t xml:space="preserve"> </w:t>
      </w:r>
      <w:r>
        <w:t xml:space="preserve">so every callout’s credentials and execution stay in-boundary.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Discovery / Service Graph Connectors</w:t>
      </w:r>
      <w:r>
        <w:t xml:space="preserve"> </w:t>
      </w:r>
      <w:r>
        <w:t xml:space="preserve">for the CMDB population (Vol VII Book 01); the reconcile job binds their output to IPAM/DDI.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ServiceNow IRM/GRC</w:t>
      </w:r>
      <w:r>
        <w:t xml:space="preserve"> </w:t>
      </w:r>
      <w:r>
        <w:t xml:space="preserve">for the attestation surface (Vol VII Book 04) — the control tests and POA&amp;M consume this app’s task stream.</w:t>
      </w:r>
    </w:p>
    <w:bookmarkEnd w:id="12"/>
    <w:bookmarkStart w:id="13" w:name="import-wire-up"/>
    <w:p>
      <w:pPr>
        <w:pStyle w:val="Heading1"/>
      </w:pPr>
      <w:r>
        <w:t xml:space="preserve">4. Import &amp; Wire-Up</w:t>
      </w:r>
    </w:p>
    <w:p>
      <w:pPr>
        <w:pStyle w:val="Compact"/>
        <w:numPr>
          <w:ilvl w:val="0"/>
          <w:numId w:val="1002"/>
        </w:numPr>
      </w:pPr>
      <w:r>
        <w:t xml:space="preserve">Create the scoped app</w:t>
      </w:r>
      <w:r>
        <w:t xml:space="preserve"> </w:t>
      </w:r>
      <w:r>
        <w:rPr>
          <w:rStyle w:val="VerbatimChar"/>
        </w:rPr>
        <w:t xml:space="preserve">x_fed_compliance</w:t>
      </w:r>
      <w:r>
        <w:t xml:space="preserve"> </w:t>
      </w:r>
      <w:r>
        <w:t xml:space="preserve">(or import the update set) in a sub-prod instance.</w:t>
      </w:r>
    </w:p>
    <w:p>
      <w:pPr>
        <w:pStyle w:val="Compact"/>
        <w:numPr>
          <w:ilvl w:val="0"/>
          <w:numId w:val="1002"/>
        </w:numPr>
      </w:pPr>
      <w:r>
        <w:t xml:space="preserve">Add the three</w:t>
      </w:r>
      <w:r>
        <w:t xml:space="preserve"> </w:t>
      </w:r>
      <w:r>
        <w:rPr>
          <w:b/>
          <w:bCs/>
        </w:rPr>
        <w:t xml:space="preserve">Script Includes</w:t>
      </w:r>
      <w:r>
        <w:t xml:space="preserve"> </w:t>
      </w:r>
      <w:r>
        <w:t xml:space="preserve">and the two</w:t>
      </w:r>
      <w:r>
        <w:t xml:space="preserve"> </w:t>
      </w:r>
      <w:r>
        <w:rPr>
          <w:b/>
          <w:bCs/>
        </w:rPr>
        <w:t xml:space="preserve">REST Messages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Create</w:t>
      </w:r>
      <w:r>
        <w:t xml:space="preserve"> </w:t>
      </w:r>
      <w:r>
        <w:rPr>
          <w:b/>
          <w:bCs/>
        </w:rPr>
        <w:t xml:space="preserve">Connection &amp; Credential aliases</w:t>
      </w:r>
      <w:r>
        <w:t xml:space="preserve"> </w:t>
      </w:r>
      <w:r>
        <w:rPr>
          <w:rStyle w:val="VerbatimChar"/>
        </w:rPr>
        <w:t xml:space="preserve">x_fed_compliance.graph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x_fed_compliance.arm</w:t>
      </w:r>
      <w:r>
        <w:t xml:space="preserve">, each with the MID Server selected, pointing at the in-boundary Graph and ARM endpoints (GCC/Gov cloud hosts per the tenant).</w:t>
      </w:r>
    </w:p>
    <w:p>
      <w:pPr>
        <w:pStyle w:val="Compact"/>
        <w:numPr>
          <w:ilvl w:val="0"/>
          <w:numId w:val="1002"/>
        </w:numPr>
      </w:pPr>
      <w:r>
        <w:t xml:space="preserve">Set app properties:</w:t>
      </w:r>
      <w:r>
        <w:t xml:space="preserve"> </w:t>
      </w:r>
      <w:r>
        <w:rPr>
          <w:rStyle w:val="VerbatimChar"/>
        </w:rPr>
        <w:t xml:space="preserve">x_fed_compliance.mid_server</w:t>
      </w:r>
      <w:r>
        <w:t xml:space="preserve">,</w:t>
      </w:r>
      <w:r>
        <w:t xml:space="preserve"> </w:t>
      </w:r>
      <w:r>
        <w:rPr>
          <w:rStyle w:val="VerbatimChar"/>
        </w:rPr>
        <w:t xml:space="preserve">x_fed_compliance.boundary</w:t>
      </w:r>
      <w:r>
        <w:t xml:space="preserve"> </w:t>
      </w:r>
      <w:r>
        <w:t xml:space="preserve">(fixed to</w:t>
      </w:r>
      <w:r>
        <w:t xml:space="preserve"> </w:t>
      </w:r>
      <w:r>
        <w:rPr>
          <w:rStyle w:val="VerbatimChar"/>
        </w:rPr>
        <w:t xml:space="preserve">gcc-moderate</w:t>
      </w:r>
      <w:r>
        <w:t xml:space="preserve"> </w:t>
      </w:r>
      <w:r>
        <w:t xml:space="preserve">for this scope),</w:t>
      </w:r>
      <w:r>
        <w:t xml:space="preserve"> </w:t>
      </w:r>
      <w:r>
        <w:rPr>
          <w:rStyle w:val="VerbatimChar"/>
        </w:rPr>
        <w:t xml:space="preserve">x_fed_compliance.mid_scripts_dir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x_fed_compliance.acknowledge_saas_boundary</w:t>
      </w:r>
      <w:r>
        <w:t xml:space="preserve">. Under GCC Moderate the Graph and ARM callouts resolve to the commercial endpoints that serve the GCC Moderate boundary (</w:t>
      </w:r>
      <w:r>
        <w:rPr>
          <w:rStyle w:val="VerbatimChar"/>
        </w:rPr>
        <w:t xml:space="preserve">graph.microsoft.com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management.azure.com</w:t>
      </w:r>
      <w:r>
        <w:t xml:space="preserve">, per the series cloud-resolution convention). The GCC High and DoD endpoints are a later follow-up and are intentionally not offered here.</w:t>
      </w:r>
    </w:p>
    <w:p>
      <w:pPr>
        <w:pStyle w:val="Compact"/>
        <w:numPr>
          <w:ilvl w:val="0"/>
          <w:numId w:val="1002"/>
        </w:numPr>
      </w:pPr>
      <w:r>
        <w:t xml:space="preserve">Load</w:t>
      </w:r>
      <w:r>
        <w:t xml:space="preserve"> </w:t>
      </w:r>
      <w:r>
        <w:rPr>
          <w:rStyle w:val="VerbatimChar"/>
        </w:rPr>
        <w:t xml:space="preserve">data/control-map.json</w:t>
      </w:r>
      <w:r>
        <w:t xml:space="preserve"> </w:t>
      </w:r>
      <w:r>
        <w:t xml:space="preserve">and run the CI check against</w:t>
      </w:r>
      <w:r>
        <w:t xml:space="preserve"> </w:t>
      </w:r>
      <w:r>
        <w:rPr>
          <w:rStyle w:val="VerbatimChar"/>
        </w:rPr>
        <w:t xml:space="preserve">federal-compliance-compliance-spine.yml</w:t>
      </w:r>
      <w:r>
        <w:t xml:space="preserve"> </w:t>
      </w:r>
      <w:r>
        <w:t xml:space="preserve">so the app’s control bindings match the series SSOT.</w:t>
      </w:r>
    </w:p>
    <w:p>
      <w:pPr>
        <w:pStyle w:val="Compact"/>
        <w:numPr>
          <w:ilvl w:val="0"/>
          <w:numId w:val="1002"/>
        </w:numPr>
      </w:pPr>
      <w:r>
        <w:t xml:space="preserve">Copy</w:t>
      </w:r>
      <w:r>
        <w:t xml:space="preserve"> </w:t>
      </w:r>
      <w:r>
        <w:rPr>
          <w:rStyle w:val="VerbatimChar"/>
        </w:rPr>
        <w:t xml:space="preserve">mid/compliance-validate.sh</w:t>
      </w:r>
      <w:r>
        <w:t xml:space="preserve"> </w:t>
      </w:r>
      <w:r>
        <w:t xml:space="preserve">and the per-surface read scripts to the MID host under</w:t>
      </w:r>
      <w:r>
        <w:t xml:space="preserve"> </w:t>
      </w:r>
      <w:r>
        <w:rPr>
          <w:rStyle w:val="VerbatimChar"/>
        </w:rPr>
        <w:t xml:space="preserve">mid_scripts_dir/&lt;surface&gt;/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Build the</w:t>
      </w:r>
      <w:r>
        <w:t xml:space="preserve"> </w:t>
      </w:r>
      <w:r>
        <w:rPr>
          <w:b/>
          <w:bCs/>
        </w:rPr>
        <w:t xml:space="preserve">Flows</w:t>
      </w:r>
      <w:r>
        <w:t xml:space="preserve"> </w:t>
      </w:r>
      <w:r>
        <w:t xml:space="preserve">per</w:t>
      </w:r>
      <w:r>
        <w:t xml:space="preserve"> </w:t>
      </w:r>
      <w:r>
        <w:rPr>
          <w:rStyle w:val="VerbatimChar"/>
        </w:rPr>
        <w:t xml:space="preserve">flow/flow-blueprint.md</w:t>
      </w:r>
      <w:r>
        <w:t xml:space="preserve">, publish the</w:t>
      </w:r>
      <w:r>
        <w:t xml:space="preserve"> </w:t>
      </w:r>
      <w:r>
        <w:rPr>
          <w:b/>
          <w:bCs/>
        </w:rPr>
        <w:t xml:space="preserve">catalog items</w:t>
      </w:r>
      <w:r>
        <w:t xml:space="preserve"> </w:t>
      </w:r>
      <w:r>
        <w:t xml:space="preserve">(control-exception request, POA&amp;M item, remediation change), and run the</w:t>
      </w:r>
      <w:r>
        <w:t xml:space="preserve"> </w:t>
      </w:r>
      <w:r>
        <w:rPr>
          <w:b/>
          <w:bCs/>
        </w:rPr>
        <w:t xml:space="preserve">ATF suites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test_mode</w:t>
      </w:r>
      <w:r>
        <w:t xml:space="preserve"> </w:t>
      </w:r>
      <w:r>
        <w:t xml:space="preserve">before enabling live connectors.</w:t>
      </w:r>
    </w:p>
    <w:bookmarkEnd w:id="13"/>
    <w:bookmarkStart w:id="14" w:name="boundary-governance"/>
    <w:p>
      <w:pPr>
        <w:pStyle w:val="Heading1"/>
      </w:pPr>
      <w:r>
        <w:t xml:space="preserve">5. Boundary &amp; Governance</w:t>
      </w:r>
    </w:p>
    <w:p>
      <w:pPr>
        <w:pStyle w:val="FirstParagraph"/>
      </w:pPr>
      <w:r>
        <w:t xml:space="preserve">Identical discipline to the rest of the series and the in-repo DDI app: a FedRAMP-authorized ServiceNow instance; the</w:t>
      </w:r>
      <w:r>
        <w:t xml:space="preserve"> </w:t>
      </w:r>
      <w:r>
        <w:rPr>
          <w:b/>
          <w:bCs/>
        </w:rPr>
        <w:t xml:space="preserve">MID Server in-boundary</w:t>
      </w:r>
      <w:r>
        <w:t xml:space="preserve"> </w:t>
      </w:r>
      <w:r>
        <w:t xml:space="preserve">so credentials and execution never leave the ATO boundary; any SaaS-surface reach gated by</w:t>
      </w:r>
      <w:r>
        <w:t xml:space="preserve"> </w:t>
      </w:r>
      <w:r>
        <w:rPr>
          <w:rStyle w:val="VerbatimChar"/>
        </w:rPr>
        <w:t xml:space="preserve">acknowledge_saas_boundary</w:t>
      </w:r>
      <w:r>
        <w:t xml:space="preserve">; and least-privilege connector identities that hold read plus scoped, logged, individually-approved write — never standing admin over the estate being governed. The catalog approval, the change record, the gate verdict, and the CMDB reconcile are the audit evidence.</w:t>
      </w:r>
    </w:p>
    <w:bookmarkEnd w:id="14"/>
    <w:bookmarkStart w:id="15" w:name="X6f0a762fda989953f82ce8e4ba3a000aa148807"/>
    <w:p>
      <w:pPr>
        <w:pStyle w:val="Heading1"/>
      </w:pPr>
      <w:r>
        <w:t xml:space="preserve">6. The Control Map — Data, Checked Against the Spine</w:t>
      </w:r>
    </w:p>
    <w:p>
      <w:pPr>
        <w:pStyle w:val="FirstParagraph"/>
      </w:pPr>
      <w:r>
        <w:t xml:space="preserve">The finding-to-task binding lives in</w:t>
      </w:r>
      <w:r>
        <w:t xml:space="preserve"> </w:t>
      </w:r>
      <w:r>
        <w:rPr>
          <w:rStyle w:val="VerbatimChar"/>
        </w:rPr>
        <w:t xml:space="preserve">data/control-map.json</w:t>
      </w:r>
      <w:r>
        <w:t xml:space="preserve">, not in code, so it is reviewable and CI-checked. Each entry corresponds to a control closed in</w:t>
      </w:r>
      <w:r>
        <w:t xml:space="preserve"> </w:t>
      </w:r>
      <w:r>
        <w:rPr>
          <w:rStyle w:val="VerbatimChar"/>
        </w:rPr>
        <w:t xml:space="preserve">federal-compliance-compliance-spine.yml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// data/control-map.json — finding class → task binding. Projection of the spine.</w:t>
      </w:r>
      <w:r>
        <w:br/>
      </w:r>
      <w:r>
        <w:rPr>
          <w:rStyle w:val="VerbatimChar"/>
        </w:rPr>
        <w:t xml:space="preserve">// Structure: { boundary, catalog: { &lt;finding-class&gt;: {…} } }; CI-validated by validate_day2_control_maps.py.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"boundary": "gcc-moderate",</w:t>
      </w:r>
      <w:r>
        <w:br/>
      </w:r>
      <w:r>
        <w:rPr>
          <w:rStyle w:val="VerbatimChar"/>
        </w:rPr>
        <w:t xml:space="preserve">  "catalog": {</w:t>
      </w:r>
      <w:r>
        <w:br/>
      </w:r>
      <w:r>
        <w:rPr>
          <w:rStyle w:val="VerbatimChar"/>
        </w:rPr>
        <w:t xml:space="preserve">    "m365.baseline.drift": {</w:t>
      </w:r>
      <w:r>
        <w:br/>
      </w:r>
      <w:r>
        <w:rPr>
          <w:rStyle w:val="VerbatimChar"/>
        </w:rPr>
        <w:t xml:space="preserve">      "title": "M365 SCuBA / secure-baseline drift", "control": "CM-6",</w:t>
      </w:r>
      <w:r>
        <w:br/>
      </w:r>
      <w:r>
        <w:rPr>
          <w:rStyle w:val="VerbatimChar"/>
        </w:rPr>
        <w:t xml:space="preserve">      "task_type": "change", "approval": "owner", "actuation": "platform-native",</w:t>
      </w:r>
      <w:r>
        <w:br/>
      </w:r>
      <w:r>
        <w:rPr>
          <w:rStyle w:val="VerbatimChar"/>
        </w:rPr>
        <w:t xml:space="preserve">      "ksi": ["KSI-CMT"], "slot": "slot-06-security"</w:t>
      </w:r>
      <w:r>
        <w:br/>
      </w:r>
      <w:r>
        <w:rPr>
          <w:rStyle w:val="VerbatimChar"/>
        </w:rPr>
        <w:t xml:space="preserve">    },</w:t>
      </w:r>
      <w:r>
        <w:br/>
      </w:r>
      <w:r>
        <w:rPr>
          <w:rStyle w:val="VerbatimChar"/>
        </w:rPr>
        <w:t xml:space="preserve">    "azure.patch.remediation": {</w:t>
      </w:r>
      <w:r>
        <w:br/>
      </w:r>
      <w:r>
        <w:rPr>
          <w:rStyle w:val="VerbatimChar"/>
        </w:rPr>
        <w:t xml:space="preserve">      "title": "Azure patch / flaw-remediation task", "control": "SI-2",</w:t>
      </w:r>
      <w:r>
        <w:br/>
      </w:r>
      <w:r>
        <w:rPr>
          <w:rStyle w:val="VerbatimChar"/>
        </w:rPr>
        <w:t xml:space="preserve">      "task_type": "change", "approval": "owner", "actuation": "platform-native",</w:t>
      </w:r>
      <w:r>
        <w:br/>
      </w:r>
      <w:r>
        <w:rPr>
          <w:rStyle w:val="VerbatimChar"/>
        </w:rPr>
        <w:t xml:space="preserve">      "ksi": ["KSI-SVC"], "slot": "slot-05-endpoint"</w:t>
      </w:r>
      <w:r>
        <w:br/>
      </w:r>
      <w:r>
        <w:rPr>
          <w:rStyle w:val="VerbatimChar"/>
        </w:rPr>
        <w:t xml:space="preserve">    },</w:t>
      </w:r>
      <w:r>
        <w:br/>
      </w:r>
      <w:r>
        <w:rPr>
          <w:rStyle w:val="VerbatimChar"/>
        </w:rPr>
        <w:t xml:space="preserve">    "azure.vuln.finding": {</w:t>
      </w:r>
      <w:r>
        <w:br/>
      </w:r>
      <w:r>
        <w:rPr>
          <w:rStyle w:val="VerbatimChar"/>
        </w:rPr>
        <w:t xml:space="preserve">      "title": "Defender / MDVM vulnerability finding", "control": "RA-5",</w:t>
      </w:r>
      <w:r>
        <w:br/>
      </w:r>
      <w:r>
        <w:rPr>
          <w:rStyle w:val="VerbatimChar"/>
        </w:rPr>
        <w:t xml:space="preserve">      "task_type": "change", "approval": "owner", "actuation": "platform-native",</w:t>
      </w:r>
      <w:r>
        <w:br/>
      </w:r>
      <w:r>
        <w:rPr>
          <w:rStyle w:val="VerbatimChar"/>
        </w:rPr>
        <w:t xml:space="preserve">      "ksi": ["KSI-MLA"], "slot": "slot-06-security"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  // … plus m365.account.exception (AC-2), attest.control.test (CA-2),</w:t>
      </w:r>
      <w:r>
        <w:br/>
      </w:r>
      <w:r>
        <w:rPr>
          <w:rStyle w:val="VerbatimChar"/>
        </w:rPr>
        <w:t xml:space="preserve">    //   attest.poam.item (CA-5), attest.conmon.rollup (CA-7)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A CI check (the same regen-and-diff pattern as</w:t>
      </w:r>
      <w:r>
        <w:t xml:space="preserve"> </w:t>
      </w:r>
      <w:r>
        <w:rPr>
          <w:rStyle w:val="VerbatimChar"/>
        </w:rPr>
        <w:t xml:space="preserve">render_authorities_table.py --check</w:t>
      </w:r>
      <w:r>
        <w:t xml:space="preserve">) fails when the app’s control</w:t>
      </w:r>
      <w:r>
        <w:t xml:space="preserve"> </w:t>
      </w:r>
      <w:r>
        <w:rPr>
          <w:b/>
          <w:bCs/>
        </w:rPr>
        <w:t xml:space="preserve">set</w:t>
      </w:r>
      <w:r>
        <w:t xml:space="preserve"> </w:t>
      </w:r>
      <w:r>
        <w:t xml:space="preserve">diverges from the spine’s closures, or when a slot or KSI theme is invalid vocabulary — so the deployable app and the series SSOT cannot silently drift on</w:t>
      </w:r>
      <w:r>
        <w:t xml:space="preserve"> </w:t>
      </w:r>
      <w:r>
        <w:rPr>
          <w:i/>
          <w:iCs/>
        </w:rPr>
        <w:t xml:space="preserve">which controls are covered</w:t>
      </w:r>
      <w:r>
        <w:t xml:space="preserve">. Per-entry attribute bindings (the KSI, slot, and task type on a given entry) remain review items, not gate-enforced against specific spine rows.</w:t>
      </w:r>
    </w:p>
    <w:bookmarkEnd w:id="15"/>
    <w:bookmarkStart w:id="17" w:name="closure-necessity"/>
    <w:p>
      <w:pPr>
        <w:pStyle w:val="Heading1"/>
      </w:pPr>
      <w:r>
        <w:t xml:space="preserve">7. Closure Necessity</w:t>
      </w:r>
    </w:p>
    <w:bookmarkStart w:id="16" w:name="Xdda7303cf6bcdb390abe22e2da8986f6f03dcf5"/>
    <w:p>
      <w:pPr>
        <w:pStyle w:val="Heading2"/>
      </w:pPr>
      <w:r>
        <w:t xml:space="preserve">7.1 Closure Necessity — the loop has to be an artifact, or it is a slideware promise</w:t>
      </w:r>
    </w:p>
    <w:p>
      <w:pPr>
        <w:pStyle w:val="FirstParagraph"/>
      </w:pPr>
      <w:r>
        <w:t xml:space="preserve">Books 00–04 describe the coordination loop; a described loop deploys nothing. This book is the buildable artifact that makes it real — connectors, reconcile job, typed-task flows, ATF coverage, and one update set — carrying the same boundary and change-control discipline the series requires. Without it,</w:t>
      </w:r>
      <w:r>
        <w:t xml:space="preserve"> </w:t>
      </w:r>
      <w:r>
        <w:t xml:space="preserve">“ServiceNow coordinates M365 and Azure compliance”</w:t>
      </w:r>
      <w:r>
        <w:t xml:space="preserve"> </w:t>
      </w:r>
      <w:r>
        <w:t xml:space="preserve">is an intention; with it, it is a scoped app an admin imports, tests, and stands up.</w:t>
      </w:r>
    </w:p>
    <w:bookmarkEnd w:id="16"/>
    <w:bookmarkEnd w:id="17"/>
    <w:bookmarkStart w:id="18" w:name="honest-limits"/>
    <w:p>
      <w:pPr>
        <w:pStyle w:val="Heading1"/>
      </w:pPr>
      <w:r>
        <w:t xml:space="preserve">8. Honest Limits</w:t>
      </w:r>
    </w:p>
    <w:p>
      <w:pPr>
        <w:pStyle w:val="Compact"/>
        <w:numPr>
          <w:ilvl w:val="0"/>
          <w:numId w:val="1003"/>
        </w:numPr>
      </w:pPr>
      <w:r>
        <w:t xml:space="preserve">The records here are a starter skeleton, not a signed store app; connector scopes, the control map, and API versions are completed per tenant and tested in sub-prod first.</w:t>
      </w:r>
    </w:p>
    <w:p>
      <w:pPr>
        <w:pStyle w:val="Compact"/>
        <w:numPr>
          <w:ilvl w:val="0"/>
          <w:numId w:val="1003"/>
        </w:numPr>
      </w:pPr>
      <w:r>
        <w:t xml:space="preserve">Connector permission scope is the sharpest risk: the app must resist scope creep toward standing tenant admin. The least-privilege posture is a review item every time a new remediation is automated.</w:t>
      </w:r>
    </w:p>
    <w:p>
      <w:pPr>
        <w:pStyle w:val="Compact"/>
        <w:numPr>
          <w:ilvl w:val="0"/>
          <w:numId w:val="1003"/>
        </w:numPr>
      </w:pPr>
      <w:r>
        <w:t xml:space="preserve">The ATF</w:t>
      </w:r>
      <w:r>
        <w:t xml:space="preserve"> </w:t>
      </w:r>
      <w:r>
        <w:rPr>
          <w:rStyle w:val="VerbatimChar"/>
        </w:rPr>
        <w:t xml:space="preserve">test_mode</w:t>
      </w:r>
      <w:r>
        <w:t xml:space="preserve"> </w:t>
      </w:r>
      <w:r>
        <w:t xml:space="preserve">exercises the loop with no live cloud; it validates the</w:t>
      </w:r>
      <w:r>
        <w:t xml:space="preserve"> </w:t>
      </w:r>
      <w:r>
        <w:rPr>
          <w:i/>
          <w:iCs/>
        </w:rPr>
        <w:t xml:space="preserve">workflow</w:t>
      </w:r>
      <w:r>
        <w:t xml:space="preserve">, not the native surfaces’ behavior — live-connector validation is a separate, gated step.</w:t>
      </w:r>
    </w:p>
    <w:bookmarkEnd w:id="18"/>
    <w:bookmarkStart w:id="19" w:name="cross-references"/>
    <w:p>
      <w:pPr>
        <w:pStyle w:val="Heading1"/>
      </w:pPr>
      <w:r>
        <w:t xml:space="preserve">9. Cross-References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  <w:b/>
          <w:bCs/>
        </w:rPr>
        <w:t xml:space="preserve">infoblox-ddi-book/servicenow-app/</w:t>
      </w:r>
      <w:r>
        <w:t xml:space="preserve"> </w:t>
      </w:r>
      <w:r>
        <w:t xml:space="preserve">— the in-repo DDI scoped-app skeleton (Script Includes, REST Message, Flow blueprint, MID gate, ATF, update set) this app generalizes to control compliance.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Vol VII Book 01</w:t>
      </w:r>
      <w:r>
        <w:t xml:space="preserve"> </w:t>
      </w:r>
      <w:r>
        <w:t xml:space="preserve">— the CMDB reconcile the app’s</w:t>
      </w:r>
      <w:r>
        <w:t xml:space="preserve"> </w:t>
      </w:r>
      <w:r>
        <w:rPr>
          <w:rStyle w:val="VerbatimChar"/>
        </w:rPr>
        <w:t xml:space="preserve">ComplianceReconcile.js</w:t>
      </w:r>
      <w:r>
        <w:t xml:space="preserve"> </w:t>
      </w:r>
      <w:r>
        <w:t xml:space="preserve">implements.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Vol VII Book 02 / 03</w:t>
      </w:r>
      <w:r>
        <w:t xml:space="preserve"> </w:t>
      </w:r>
      <w:r>
        <w:t xml:space="preserve">— the M365 and Azure loops the Flows and control map encode.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Vol VII Book 04</w:t>
      </w:r>
      <w:r>
        <w:t xml:space="preserve"> </w:t>
      </w:r>
      <w:r>
        <w:t xml:space="preserve">— the IRM/GRC attestation surface that consumes this app’s task stream.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Vol VI Book 00 (Implementation Overview)</w:t>
      </w:r>
      <w:r>
        <w:t xml:space="preserve"> </w:t>
      </w:r>
      <w:r>
        <w:t xml:space="preserve">— the everything-as-code / in-boundary / evidence-emitting deploy model this app conforms to.</w:t>
      </w:r>
    </w:p>
    <w:bookmarkEnd w:id="19"/>
    <w:bookmarkStart w:id="21" w:name="provenance"/>
    <w:p>
      <w:pPr>
        <w:pStyle w:val="Heading1"/>
      </w:pPr>
      <w:r>
        <w:t xml:space="preserve">10. Provenance</w:t>
      </w:r>
    </w:p>
    <w:p>
      <w:pPr>
        <w:pStyle w:val="FirstParagraph"/>
      </w:pPr>
      <w:r>
        <w:t xml:space="preserve">Draft.</w:t>
      </w:r>
      <w:r>
        <w:t xml:space="preserve"> </w:t>
      </w:r>
      <w:r>
        <w:rPr>
          <w:rStyle w:val="VerbatimChar"/>
        </w:rPr>
        <w:t xml:space="preserve">x_fed_compliance</w:t>
      </w:r>
      <w:r>
        <w:t xml:space="preserve">, Microsoft Graph, and Azure Resource Manager are deployed examples; the in-boundary-MID, least-privilege-connector, control-map-checked-against-the-spine disciplines are the invariants. This is a vendor-integration skeleton independent of any governance engine’s canon, and — per the</w:t>
      </w:r>
      <w:r>
        <w:t xml:space="preserve"> </w:t>
      </w:r>
      <w:hyperlink r:id="rId20">
        <w:r>
          <w:rPr>
            <w:rStyle w:val="Hyperlink"/>
          </w:rPr>
          <w:t xml:space="preserve">Vendor Currency Doctrine</w:t>
        </w:r>
      </w:hyperlink>
      <w:r>
        <w:t xml:space="preserve"> </w:t>
      </w:r>
      <w:r>
        <w:t xml:space="preserve">— a build-vs-buy candidate whose case can change fast: a commercial ServiceNow-native FedRAMP 20x KSI product did not exist when this book was first scoped and shipped within weeks. Confirm ServiceNow’s current native/marketplace offerings before committing a Project Plan to building this skeleton out. The record-model figure is authored as committed house-style SVG (rasterized to PNG).</w:t>
      </w:r>
    </w:p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Vol_0_Book_00_Executive_Summary.md#vendor-currenc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Vol_0_Book_00_Executive_Summary.md#vendor-currenc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VII Book 05 — Federal Compliance — The ServiceNow Compliance App</dc:title>
  <dc:creator>Federal Cloud Services</dc:creator>
  <cp:keywords/>
  <dcterms:created xsi:type="dcterms:W3CDTF">2026-10-19T10:10:18Z</dcterms:created>
  <dcterms:modified xsi:type="dcterms:W3CDTF">2026-10-19T10:10:18Z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2026-07-18 04:33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The deployable artifact: a scoped app with connectors, Flows, catalog items, ATF tests, and one assemblable update set</vt:lpwstr>
  </property>
  <property fmtid="{D5CDD505-2E9C-101B-9397-08002B2CF9AE}" pid="16" name="toc-title">
    <vt:lpwstr>Table of contents</vt:lpwstr>
  </property>
</Properties>
</file>