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VI Book 00 — Federal Compliance — Implementation Overview</w:t>
      </w:r>
    </w:p>
    <w:p>
      <w:pPr>
        <w:pStyle w:val="Subtitle"/>
      </w:pPr>
      <w:r>
        <w:t xml:space="preserve">The deployable-artifact layer: how the architecture volumes are actually stood up, in-boundary and as code</w:t>
      </w:r>
    </w:p>
    <w:p>
      <w:pPr>
        <w:pStyle w:val="Author"/>
      </w:pPr>
      <w:r>
        <w:t xml:space="preserve">Federal Cloud Services</w:t>
      </w:r>
    </w:p>
    <w:p>
      <w:pPr>
        <w:pStyle w:val="Date"/>
      </w:pPr>
      <w:r>
        <w:t xml:space="preserve">2026-07-19 20:20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2026-07-19 16:20 ET</w:t>
      </w:r>
    </w:p>
    <w:bookmarkEnd w:id="9"/>
    <w:p>
      <w:pPr>
        <w:pStyle w:val="BodyText"/>
      </w:pPr>
      <w:r>
        <w:rPr>
          <w:b/>
          <w:bCs/>
        </w:rPr>
        <w:t xml:space="preserve">Series Context</w:t>
      </w:r>
      <w:r>
        <w:t xml:space="preserve"> </w:t>
      </w:r>
      <w:r>
        <w:t xml:space="preserve">— This is the Volume VI overview of the Federal Compliance series. Volumes I–IV establish the architecture — the network and transport plane, the data platform, security operations, and governance and assurance — as</w:t>
      </w:r>
      <w:r>
        <w:t xml:space="preserve"> </w:t>
      </w:r>
      <w:r>
        <w:rPr>
          <w:i/>
          <w:iCs/>
        </w:rPr>
        <w:t xml:space="preserve">what must be true and why</w:t>
      </w:r>
      <w:r>
        <w:t xml:space="preserve">, argued from control text, physics, and protocol behavior. Volume V addresses training and certification.</w:t>
      </w:r>
      <w:r>
        <w:t xml:space="preserve"> </w:t>
      </w:r>
      <w:r>
        <w:rPr>
          <w:b/>
          <w:bCs/>
        </w:rPr>
        <w:t xml:space="preserve">Volume VI is the deployable counterpart to the architecture volumes: the infrastructure-as-code, detection rules, response playbooks, configuration baselines, and evidence wiring that actually stand the architecture up.</w:t>
      </w:r>
      <w:r>
        <w:t xml:space="preserve"> </w:t>
      </w:r>
      <w:r>
        <w:t xml:space="preserve">Where an architecture book says a control is closed by a mechanism, the corresponding Volume VI book carries the artifact that deploys that mechanism.</w:t>
      </w:r>
    </w:p>
    <w:bookmarkStart w:id="10" w:name="what-this-document-addresses"/>
    <w:p>
      <w:pPr>
        <w:pStyle w:val="Heading1"/>
      </w:pPr>
      <w:r>
        <w:t xml:space="preserve">1. What This Document Addresses</w:t>
      </w:r>
    </w:p>
    <w:p>
      <w:pPr>
        <w:pStyle w:val="FirstParagraph"/>
      </w:pPr>
      <w:r>
        <w:t xml:space="preserve">The architecture volumes answer</w:t>
      </w:r>
      <w:r>
        <w:t xml:space="preserve"> </w:t>
      </w:r>
      <w:r>
        <w:rPr>
          <w:i/>
          <w:iCs/>
        </w:rPr>
        <w:t xml:space="preserve">what</w:t>
      </w:r>
      <w:r>
        <w:t xml:space="preserve"> </w:t>
      </w:r>
      <w:r>
        <w:t xml:space="preserve">and</w:t>
      </w:r>
      <w:r>
        <w:t xml:space="preserve"> </w:t>
      </w:r>
      <w:r>
        <w:rPr>
          <w:i/>
          <w:iCs/>
        </w:rPr>
        <w:t xml:space="preserve">why</w:t>
      </w:r>
      <w:r>
        <w:t xml:space="preserve">: which controls a mechanism closes, and why no alternate mechanism closes them. They deliberately stop short of the deployment detail, because architecture that is entangled with a specific tenant’s wiring ages badly and reads as advocacy for a product rather than demonstration of a control.</w:t>
      </w:r>
    </w:p>
    <w:p>
      <w:pPr>
        <w:pStyle w:val="BodyText"/>
      </w:pPr>
      <w:r>
        <w:t xml:space="preserve">This volume answers</w:t>
      </w:r>
      <w:r>
        <w:t xml:space="preserve"> </w:t>
      </w:r>
      <w:r>
        <w:rPr>
          <w:i/>
          <w:iCs/>
        </w:rPr>
        <w:t xml:space="preserve">how</w:t>
      </w:r>
      <w:r>
        <w:t xml:space="preserve">. It carries the artifacts an engineering team applies to a tenant to make the architecture real: landing-zone and network infrastructure-as-code, identity and access policy expressed as code, the detection-engineering rule library, response-automation playbooks, data-protection deployment packs, configuration baselines, the evidence-and-continuous-monitoring pipeline, and the validation harnesses that prove the deployment works.</w:t>
      </w:r>
    </w:p>
    <w:p>
      <w:pPr>
        <w:pStyle w:val="BodyText"/>
      </w:pPr>
      <w:r>
        <w:t xml:space="preserve">A control-closure claim in an architecture volume is a</w:t>
      </w:r>
      <w:r>
        <w:t xml:space="preserve"> </w:t>
      </w:r>
      <w:r>
        <w:rPr>
          <w:i/>
          <w:iCs/>
        </w:rPr>
        <w:t xml:space="preserve">design assertion</w:t>
      </w:r>
      <w:r>
        <w:t xml:space="preserve">. The matching Volume VI artifact is the</w:t>
      </w:r>
      <w:r>
        <w:t xml:space="preserve"> </w:t>
      </w:r>
      <w:r>
        <w:rPr>
          <w:i/>
          <w:iCs/>
        </w:rPr>
        <w:t xml:space="preserve">operational realization</w:t>
      </w:r>
      <w:r>
        <w:t xml:space="preserve"> </w:t>
      </w:r>
      <w:r>
        <w:t xml:space="preserve">of that assertion — and the thing an assessor can actually run, inspect, and trace to a control. This volume is where</w:t>
      </w:r>
      <w:r>
        <w:t xml:space="preserve"> </w:t>
      </w:r>
      <w:r>
        <w:t xml:space="preserve">“the SSP says we do X”</w:t>
      </w:r>
      <w:r>
        <w:t xml:space="preserve"> </w:t>
      </w:r>
      <w:r>
        <w:t xml:space="preserve">becomes</w:t>
      </w:r>
      <w:r>
        <w:t xml:space="preserve"> </w:t>
      </w:r>
      <w:r>
        <w:t xml:space="preserve">“here is the code that does X and the evidence that it ran.”</w:t>
      </w:r>
    </w:p>
    <w:p>
      <w:pPr>
        <w:pStyle w:val="BodyText"/>
      </w:pPr>
      <w:r>
        <w:rPr>
          <w:b/>
          <w:bCs/>
        </w:rPr>
        <w:t xml:space="preserve">Architecture vs. Implementation</w:t>
      </w:r>
      <w:r>
        <w:t xml:space="preserve"> </w:t>
      </w:r>
      <w:r>
        <w:t xml:space="preserve">— The architecture volumes are mechanism-level and, by design, product-neutral: they name the</w:t>
      </w:r>
      <w:r>
        <w:t xml:space="preserve"> </w:t>
      </w:r>
      <w:r>
        <w:rPr>
          <w:i/>
          <w:iCs/>
        </w:rPr>
        <w:t xml:space="preserve">function</w:t>
      </w:r>
      <w:r>
        <w:t xml:space="preserve"> </w:t>
      </w:r>
      <w:r>
        <w:t xml:space="preserve">that closes a control. This volume is necessarily more concrete — you cannot deploy a function, you deploy a product that realizes it. Every artifact here therefore names a</w:t>
      </w:r>
      <w:r>
        <w:t xml:space="preserve"> </w:t>
      </w:r>
      <w:r>
        <w:rPr>
          <w:b/>
          <w:bCs/>
        </w:rPr>
        <w:t xml:space="preserve">deployed example</w:t>
      </w:r>
      <w:r>
        <w:t xml:space="preserve"> </w:t>
      </w:r>
      <w:r>
        <w:t xml:space="preserve">(for the Agency estate, most often the Microsoft-cloud realization) while preserving a substitution column, because the series is multi-CSP and the mechanism, not the product, is the load-bearing claim. Swapping the deployed example changes the artifact’s syntax, never the control it closes.</w:t>
      </w:r>
    </w:p>
    <w:bookmarkEnd w:id="10"/>
    <w:bookmarkStart w:id="14" w:name="the-deploy-model"/>
    <w:p>
      <w:pPr>
        <w:pStyle w:val="Heading1"/>
      </w:pPr>
      <w:r>
        <w:t xml:space="preserve">2. The Deploy Model</w:t>
      </w:r>
    </w:p>
    <w:p>
      <w:pPr>
        <w:pStyle w:val="FirstParagraph"/>
      </w:pPr>
      <w:r>
        <w:t xml:space="preserve">Three principles govern every artifact in this volume.</w:t>
      </w:r>
    </w:p>
    <w:bookmarkStart w:id="11" w:name="X2fbf9db5b701f4c1ecd2a4ef661cc4cde6cc5d2"/>
    <w:p>
      <w:pPr>
        <w:pStyle w:val="Heading2"/>
      </w:pPr>
      <w:r>
        <w:t xml:space="preserve">2.1 Everything as code, applied through a pipeline</w:t>
      </w:r>
    </w:p>
    <w:p>
      <w:pPr>
        <w:pStyle w:val="FirstParagraph"/>
      </w:pPr>
      <w:r>
        <w:t xml:space="preserve">No artifact in this volume is a click-path. Landing zones are Terraform or Bicep; Conditional Access, DLP policy, and sensitivity labels are declarative policy files; detection rules and playbooks are versioned YAML. Each is applied through a change-controlled pipeline (GitOps), so that the deployed state is reproducible, reviewable, and diffable against its intended state. This is the precondition for CM-2/CM-3/CM-6 to mean anything: a baseline you cannot re-derive from source is not a baseline.</w:t>
      </w:r>
    </w:p>
    <w:bookmarkEnd w:id="11"/>
    <w:bookmarkStart w:id="12" w:name="in-boundary-by-construction"/>
    <w:p>
      <w:pPr>
        <w:pStyle w:val="Heading2"/>
      </w:pPr>
      <w:r>
        <w:t xml:space="preserve">2.2 In-boundary by construction</w:t>
      </w:r>
    </w:p>
    <w:p>
      <w:pPr>
        <w:pStyle w:val="FirstParagraph"/>
      </w:pPr>
      <w:r>
        <w:t xml:space="preserve">Every artifact that processes identity-attributed or behavioral telemetry runs</w:t>
      </w:r>
      <w:r>
        <w:t xml:space="preserve"> </w:t>
      </w:r>
      <w:r>
        <w:rPr>
          <w:b/>
          <w:bCs/>
        </w:rPr>
        <w:t xml:space="preserve">inside the agency’s own FedRAMP-authorized boundary</w:t>
      </w:r>
      <w:r>
        <w:t xml:space="preserve">. The constraint a modern SaaS boundary imposes is about the</w:t>
      </w:r>
      <w:r>
        <w:t xml:space="preserve"> </w:t>
      </w:r>
      <w:r>
        <w:rPr>
          <w:i/>
          <w:iCs/>
        </w:rPr>
        <w:t xml:space="preserve">destination</w:t>
      </w:r>
      <w:r>
        <w:t xml:space="preserve"> </w:t>
      </w:r>
      <w:r>
        <w:t xml:space="preserve">of raw telemetry, not the data itself: the same sign-in, audit, device, and data-protection telemetry that may not be exported to a vendor’s commercial multi-tenant analytics service may be analyzed inside the agency’s own workspace, because that is exactly the in-boundary monitoring SI-4 and AU-2/AU-3 contemplate. The moment an artifact ships that telemetry to an out-of-scope service for convenience, it recreates the very flow the boundary forbids — as the agency’s own finding. Every component an artifact depends on must itself carry an authorization commensurate with the data it handles.</w:t>
      </w:r>
    </w:p>
    <w:bookmarkEnd w:id="12"/>
    <w:bookmarkStart w:id="13" w:name="evidence-emitting-by-default"/>
    <w:p>
      <w:pPr>
        <w:pStyle w:val="Heading2"/>
      </w:pPr>
      <w:r>
        <w:t xml:space="preserve">2.3 Evidence-emitting by default</w:t>
      </w:r>
    </w:p>
    <w:p>
      <w:pPr>
        <w:pStyle w:val="FirstParagraph"/>
      </w:pPr>
      <w:r>
        <w:t xml:space="preserve">An artifact that deploys a control but produces no machine-readable evidence of doing so has done half the job. Each Volume VI artifact emits to the series</w:t>
      </w:r>
      <w:r>
        <w:t xml:space="preserve"> </w:t>
      </w:r>
      <w:r>
        <w:rPr>
          <w:b/>
          <w:bCs/>
        </w:rPr>
        <w:t xml:space="preserve">evidence contract</w:t>
      </w:r>
      <w:r>
        <w:t xml:space="preserve"> </w:t>
      </w:r>
      <w:r>
        <w:t xml:space="preserve">— the normalized record every deployed mechanism writes so that the continuous-monitoring pipeline (Book VI-07) can bind it to the control it closes and carry it into the authorization package. Deployment and evidence are one act, not two.</w:t>
      </w:r>
    </w:p>
    <w:bookmarkEnd w:id="13"/>
    <w:bookmarkEnd w:id="14"/>
    <w:bookmarkStart w:id="15" w:name="how-this-volume-maps-to-the-architecture"/>
    <w:p>
      <w:pPr>
        <w:pStyle w:val="Heading1"/>
      </w:pPr>
      <w:r>
        <w:t xml:space="preserve">3. How This Volume Maps to the Architecture</w:t>
      </w:r>
    </w:p>
    <w:p>
      <w:pPr>
        <w:pStyle w:val="FirstParagraph"/>
      </w:pPr>
      <w:r>
        <w:t xml:space="preserve">Each implementation book is the deployable realization of one or more architecture books. The volume is organized by</w:t>
      </w:r>
      <w:r>
        <w:t xml:space="preserve"> </w:t>
      </w:r>
      <w:r>
        <w:rPr>
          <w:b/>
          <w:bCs/>
        </w:rPr>
        <w:t xml:space="preserve">artifact class</w:t>
      </w:r>
      <w:r>
        <w:t xml:space="preserve"> </w:t>
      </w:r>
      <w:r>
        <w:t xml:space="preserve">rather than by re-mirroring the architecture domains, because deployable artifacts share tooling and lifecycle regardless of which domain they 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Book</w:t>
            </w:r>
          </w:p>
        </w:tc>
        <w:tc>
          <w:tcPr/>
          <w:p>
            <w:pPr>
              <w:pStyle w:val="Compact"/>
            </w:pPr>
            <w:r>
              <w:t xml:space="preserve">Deployable artifacts</w:t>
            </w:r>
          </w:p>
        </w:tc>
        <w:tc>
          <w:tcPr/>
          <w:p>
            <w:pPr>
              <w:pStyle w:val="Compact"/>
            </w:pPr>
            <w:r>
              <w:t xml:space="preserve">Implements</w:t>
            </w:r>
          </w:p>
        </w:tc>
        <w:tc>
          <w:tcPr/>
          <w:p>
            <w:pPr>
              <w:pStyle w:val="Compact"/>
            </w:pPr>
            <w:r>
              <w:t xml:space="preserve">Representative controls operationalized</w:t>
            </w:r>
          </w:p>
        </w:tc>
      </w:tr>
      <w:tr>
        <w:tc>
          <w:tcPr/>
          <w:p>
            <w:pPr>
              <w:pStyle w:val="Compact"/>
            </w:pPr>
            <w:r>
              <w:rPr>
                <w:b/>
                <w:bCs/>
              </w:rPr>
              <w:t xml:space="preserve">VI-00</w:t>
            </w:r>
            <w:r>
              <w:t xml:space="preserve"> </w:t>
            </w:r>
            <w:r>
              <w:t xml:space="preserve">(this book)</w:t>
            </w:r>
          </w:p>
        </w:tc>
        <w:tc>
          <w:tcPr/>
          <w:p>
            <w:pPr>
              <w:pStyle w:val="Compact"/>
            </w:pPr>
            <w:r>
              <w:t xml:space="preserve">Deploy model, in-boundary principle, evidence emission, GitOps pipeline</w:t>
            </w:r>
          </w:p>
        </w:tc>
        <w:tc>
          <w:tcPr/>
          <w:p>
            <w:pPr>
              <w:pStyle w:val="Compact"/>
            </w:pPr>
            <w:r>
              <w:t xml:space="preserve">all volumes</w:t>
            </w:r>
          </w:p>
        </w:tc>
        <w:tc>
          <w:tcPr/>
          <w:p>
            <w:pPr>
              <w:pStyle w:val="Compact"/>
            </w:pPr>
            <w:r>
              <w:t xml:space="preserve">CM-2, CM-3 (the pipeline itself)</w:t>
            </w:r>
          </w:p>
        </w:tc>
      </w:tr>
      <w:tr>
        <w:tc>
          <w:tcPr/>
          <w:p>
            <w:pPr>
              <w:pStyle w:val="Compact"/>
            </w:pPr>
            <w:r>
              <w:rPr>
                <w:b/>
                <w:bCs/>
              </w:rPr>
              <w:t xml:space="preserve">VI-01 — Landing Zone &amp; Network as Code</w:t>
            </w:r>
          </w:p>
        </w:tc>
        <w:tc>
          <w:tcPr/>
          <w:p>
            <w:pPr>
              <w:pStyle w:val="Compact"/>
            </w:pPr>
            <w:r>
              <w:t xml:space="preserve">Terraform/Bicep: landing zone, IPAM/DDI, SASE/TIC PEP</w:t>
            </w:r>
          </w:p>
        </w:tc>
        <w:tc>
          <w:tcPr/>
          <w:p>
            <w:pPr>
              <w:pStyle w:val="Compact"/>
            </w:pPr>
            <w:r>
              <w:t xml:space="preserve">Vol I</w:t>
            </w:r>
          </w:p>
        </w:tc>
        <w:tc>
          <w:tcPr/>
          <w:p>
            <w:pPr>
              <w:pStyle w:val="Compact"/>
            </w:pPr>
            <w:r>
              <w:t xml:space="preserve">SC-7, SC-20/21/22, CM-8</w:t>
            </w:r>
          </w:p>
        </w:tc>
      </w:tr>
      <w:tr>
        <w:tc>
          <w:tcPr/>
          <w:p>
            <w:pPr>
              <w:pStyle w:val="Compact"/>
            </w:pPr>
            <w:r>
              <w:rPr>
                <w:b/>
                <w:bCs/>
              </w:rPr>
              <w:t xml:space="preserve">VI-02 — Identity &amp; Access as Code</w:t>
            </w:r>
          </w:p>
        </w:tc>
        <w:tc>
          <w:tcPr/>
          <w:p>
            <w:pPr>
              <w:pStyle w:val="Compact"/>
            </w:pPr>
            <w:r>
              <w:t xml:space="preserve">Conditional Access-as-code, PIM config, 802.1X/NAC profiles, cert/token automation</w:t>
            </w:r>
          </w:p>
        </w:tc>
        <w:tc>
          <w:tcPr/>
          <w:p>
            <w:pPr>
              <w:pStyle w:val="Compact"/>
            </w:pPr>
            <w:r>
              <w:t xml:space="preserve">Vol I identity, Vol III PAM</w:t>
            </w:r>
          </w:p>
        </w:tc>
        <w:tc>
          <w:tcPr/>
          <w:p>
            <w:pPr>
              <w:pStyle w:val="Compact"/>
            </w:pPr>
            <w:r>
              <w:t xml:space="preserve">IA-2, AC-2/5/6, IA-3</w:t>
            </w:r>
          </w:p>
        </w:tc>
      </w:tr>
      <w:tr>
        <w:tc>
          <w:tcPr/>
          <w:p>
            <w:pPr>
              <w:pStyle w:val="Compact"/>
            </w:pPr>
            <w:r>
              <w:rPr>
                <w:b/>
                <w:bCs/>
              </w:rPr>
              <w:t xml:space="preserve">VI-03 — Detection Engineering</w:t>
            </w:r>
          </w:p>
        </w:tc>
        <w:tc>
          <w:tcPr/>
          <w:p>
            <w:pPr>
              <w:pStyle w:val="Compact"/>
            </w:pPr>
            <w:r>
              <w:t xml:space="preserve">The in-boundary analytics rule library (SIEM/XDR)</w:t>
            </w:r>
          </w:p>
        </w:tc>
        <w:tc>
          <w:tcPr/>
          <w:p>
            <w:pPr>
              <w:pStyle w:val="Compact"/>
            </w:pPr>
            <w:r>
              <w:t xml:space="preserve">Vol III SIEM/XDR</w:t>
            </w:r>
          </w:p>
        </w:tc>
        <w:tc>
          <w:tcPr/>
          <w:p>
            <w:pPr>
              <w:pStyle w:val="Compact"/>
            </w:pPr>
            <w:r>
              <w:t xml:space="preserve">AU-6, SI-4, IR-4</w:t>
            </w:r>
          </w:p>
        </w:tc>
      </w:tr>
      <w:tr>
        <w:tc>
          <w:tcPr/>
          <w:p>
            <w:pPr>
              <w:pStyle w:val="Compact"/>
            </w:pPr>
            <w:r>
              <w:rPr>
                <w:b/>
                <w:bCs/>
              </w:rPr>
              <w:t xml:space="preserve">VI-04 — Response Automation (SOAR)</w:t>
            </w:r>
          </w:p>
        </w:tc>
        <w:tc>
          <w:tcPr/>
          <w:p>
            <w:pPr>
              <w:pStyle w:val="Compact"/>
            </w:pPr>
            <w:r>
              <w:t xml:space="preserve">Containment/enrichment playbooks</w:t>
            </w:r>
          </w:p>
        </w:tc>
        <w:tc>
          <w:tcPr/>
          <w:p>
            <w:pPr>
              <w:pStyle w:val="Compact"/>
            </w:pPr>
            <w:r>
              <w:t xml:space="preserve">Vol III SIEM/XDR</w:t>
            </w:r>
          </w:p>
        </w:tc>
        <w:tc>
          <w:tcPr/>
          <w:p>
            <w:pPr>
              <w:pStyle w:val="Compact"/>
            </w:pPr>
            <w:r>
              <w:t xml:space="preserve">IR-4/6, AC-12</w:t>
            </w:r>
          </w:p>
        </w:tc>
      </w:tr>
      <w:tr>
        <w:tc>
          <w:tcPr/>
          <w:p>
            <w:pPr>
              <w:pStyle w:val="Compact"/>
            </w:pPr>
            <w:r>
              <w:rPr>
                <w:b/>
                <w:bCs/>
              </w:rPr>
              <w:t xml:space="preserve">VI-05 — Data Protection Deployment</w:t>
            </w:r>
          </w:p>
        </w:tc>
        <w:tc>
          <w:tcPr/>
          <w:p>
            <w:pPr>
              <w:pStyle w:val="Compact"/>
            </w:pPr>
            <w:r>
              <w:t xml:space="preserve">Label taxonomy-as-code, DLP policy packs, key-vault/CMK IaC</w:t>
            </w:r>
          </w:p>
        </w:tc>
        <w:tc>
          <w:tcPr/>
          <w:p>
            <w:pPr>
              <w:pStyle w:val="Compact"/>
            </w:pPr>
            <w:r>
              <w:t xml:space="preserve">Vol III Data Protection</w:t>
            </w:r>
          </w:p>
        </w:tc>
        <w:tc>
          <w:tcPr/>
          <w:p>
            <w:pPr>
              <w:pStyle w:val="Compact"/>
            </w:pPr>
            <w:r>
              <w:t xml:space="preserve">AC-4, SC-12/28</w:t>
            </w:r>
          </w:p>
        </w:tc>
      </w:tr>
      <w:tr>
        <w:tc>
          <w:tcPr/>
          <w:p>
            <w:pPr>
              <w:pStyle w:val="Compact"/>
            </w:pPr>
            <w:r>
              <w:rPr>
                <w:b/>
                <w:bCs/>
              </w:rPr>
              <w:t xml:space="preserve">VI-06 — Configuration Baselines &amp; Hardening</w:t>
            </w:r>
          </w:p>
        </w:tc>
        <w:tc>
          <w:tcPr/>
          <w:p>
            <w:pPr>
              <w:pStyle w:val="Compact"/>
            </w:pPr>
            <w:r>
              <w:t xml:space="preserve">SCuBA/CIS/STIG policy-as-code</w:t>
            </w:r>
          </w:p>
        </w:tc>
        <w:tc>
          <w:tcPr/>
          <w:p>
            <w:pPr>
              <w:pStyle w:val="Compact"/>
            </w:pPr>
            <w:r>
              <w:t xml:space="preserve">Vol III posture &amp; patch</w:t>
            </w:r>
          </w:p>
        </w:tc>
        <w:tc>
          <w:tcPr/>
          <w:p>
            <w:pPr>
              <w:pStyle w:val="Compact"/>
            </w:pPr>
            <w:r>
              <w:t xml:space="preserve">CM-2/6/7, SI-2</w:t>
            </w:r>
          </w:p>
        </w:tc>
      </w:tr>
      <w:tr>
        <w:tc>
          <w:tcPr/>
          <w:p>
            <w:pPr>
              <w:pStyle w:val="Compact"/>
            </w:pPr>
            <w:r>
              <w:rPr>
                <w:b/>
                <w:bCs/>
              </w:rPr>
              <w:t xml:space="preserve">VI-07 — Evidence &amp; ConMon Pipeline</w:t>
            </w:r>
          </w:p>
        </w:tc>
        <w:tc>
          <w:tcPr/>
          <w:p>
            <w:pPr>
              <w:pStyle w:val="Compact"/>
            </w:pPr>
            <w:r>
              <w:t xml:space="preserve">Telemetry→evidence-contract→KSI wiring, OSCAL emission</w:t>
            </w:r>
          </w:p>
        </w:tc>
        <w:tc>
          <w:tcPr/>
          <w:p>
            <w:pPr>
              <w:pStyle w:val="Compact"/>
            </w:pPr>
            <w:r>
              <w:t xml:space="preserve">Vol III Evidence Fabric, Vol IV</w:t>
            </w:r>
          </w:p>
        </w:tc>
        <w:tc>
          <w:tcPr/>
          <w:p>
            <w:pPr>
              <w:pStyle w:val="Compact"/>
            </w:pPr>
            <w:r>
              <w:t xml:space="preserve">CA-7, AU-6(1)</w:t>
            </w:r>
          </w:p>
        </w:tc>
      </w:tr>
      <w:tr>
        <w:tc>
          <w:tcPr/>
          <w:p>
            <w:pPr>
              <w:pStyle w:val="Compact"/>
            </w:pPr>
            <w:r>
              <w:rPr>
                <w:b/>
                <w:bCs/>
              </w:rPr>
              <w:t xml:space="preserve">VI-08 — Validation &amp; Test Harnesses</w:t>
            </w:r>
          </w:p>
        </w:tc>
        <w:tc>
          <w:tcPr/>
          <w:p>
            <w:pPr>
              <w:pStyle w:val="Compact"/>
            </w:pPr>
            <w:r>
              <w:t xml:space="preserve">Detection-efficacy tests, telemetry-completeness workbooks, deploy smoke tests</w:t>
            </w:r>
          </w:p>
        </w:tc>
        <w:tc>
          <w:tcPr/>
          <w:p>
            <w:pPr>
              <w:pStyle w:val="Compact"/>
            </w:pPr>
            <w:r>
              <w:t xml:space="preserve">all</w:t>
            </w:r>
          </w:p>
        </w:tc>
        <w:tc>
          <w:tcPr/>
          <w:p>
            <w:pPr>
              <w:pStyle w:val="Compact"/>
            </w:pPr>
            <w:r>
              <w:t xml:space="preserve">CA-2, CA-7(3)</w:t>
            </w:r>
          </w:p>
        </w:tc>
      </w:tr>
    </w:tbl>
    <w:bookmarkEnd w:id="15"/>
    <w:bookmarkStart w:id="17" w:name="X22b962e5c005a4499f9253dafcb5cb8d7b3fce1"/>
    <w:p>
      <w:pPr>
        <w:pStyle w:val="Heading1"/>
      </w:pPr>
      <w:r>
        <w:t xml:space="preserve">4. Closure Necessity — What Implementation Does and Does Not Close</w:t>
      </w:r>
    </w:p>
    <w:bookmarkStart w:id="16" w:name="X55cd703f51ef469c436271af0f6bb44234469ab"/>
    <w:p>
      <w:pPr>
        <w:pStyle w:val="Heading2"/>
      </w:pPr>
      <w:r>
        <w:t xml:space="preserve">4.1 Closure Necessity — Implementation operationalizes, it does not re-close</w:t>
      </w:r>
    </w:p>
    <w:p>
      <w:pPr>
        <w:pStyle w:val="FirstParagraph"/>
      </w:pPr>
      <w:r>
        <w:t xml:space="preserve">Volume VI does</w:t>
      </w:r>
      <w:r>
        <w:t xml:space="preserve"> </w:t>
      </w:r>
      <w:r>
        <w:rPr>
          <w:b/>
          <w:bCs/>
        </w:rPr>
        <w:t xml:space="preserve">not</w:t>
      </w:r>
      <w:r>
        <w:t xml:space="preserve"> </w:t>
      </w:r>
      <w:r>
        <w:t xml:space="preserve">claim to close controls the architecture volumes already claim; that would double-count. Its necessity is of a different kind:</w:t>
      </w:r>
      <w:r>
        <w:t xml:space="preserve"> </w:t>
      </w:r>
      <w:r>
        <w:rPr>
          <w:b/>
          <w:bCs/>
        </w:rPr>
        <w:t xml:space="preserve">a control-closure claim that is not deployed as code, and does not emit evidence, is not assessable.</w:t>
      </w:r>
      <w:r>
        <w:t xml:space="preserve"> </w:t>
      </w:r>
      <w:r>
        <w:t xml:space="preserve">AU-6 is not satisfied by a SIEM with no rules; CM-6 is not satisfied by a baseline no pipeline enforces; CA-7 is not satisfied by evidence no pipeline emits. The architecture volumes prove the mechanism is</w:t>
      </w:r>
      <w:r>
        <w:t xml:space="preserve"> </w:t>
      </w:r>
      <w:r>
        <w:rPr>
          <w:i/>
          <w:iCs/>
        </w:rPr>
        <w:t xml:space="preserve">sufficient</w:t>
      </w:r>
      <w:r>
        <w:t xml:space="preserve">; this volume is what makes the closure</w:t>
      </w:r>
      <w:r>
        <w:t xml:space="preserve"> </w:t>
      </w:r>
      <w:r>
        <w:rPr>
          <w:i/>
          <w:iCs/>
        </w:rPr>
        <w:t xml:space="preserve">demonstrable</w:t>
      </w:r>
      <w:r>
        <w:t xml:space="preserve">. Remove it and the SSP describes controls no assessor can exercise — the gap between a designed control and an operating one.</w:t>
      </w:r>
    </w:p>
    <w:bookmarkEnd w:id="16"/>
    <w:bookmarkEnd w:id="17"/>
    <w:bookmarkStart w:id="18" w:name="what-this-volume-is-and-is-not"/>
    <w:p>
      <w:pPr>
        <w:pStyle w:val="Heading1"/>
      </w:pPr>
      <w:r>
        <w:t xml:space="preserve">5. What This Volume Is and Is Not</w:t>
      </w:r>
    </w:p>
    <w:p>
      <w:pPr>
        <w:pStyle w:val="FirstParagraph"/>
      </w:pPr>
      <w:r>
        <w:t xml:space="preserve">It</w:t>
      </w:r>
      <w:r>
        <w:t xml:space="preserve"> </w:t>
      </w:r>
      <w:r>
        <w:rPr>
          <w:b/>
          <w:bCs/>
        </w:rPr>
        <w:t xml:space="preserve">is</w:t>
      </w:r>
      <w:r>
        <w:t xml:space="preserve"> </w:t>
      </w:r>
      <w:r>
        <w:t xml:space="preserve">the agency-side build layer — the code and evidence that turn the architecture into an operating, assessable posture. It</w:t>
      </w:r>
      <w:r>
        <w:t xml:space="preserve"> </w:t>
      </w:r>
      <w:r>
        <w:rPr>
          <w:b/>
          <w:bCs/>
        </w:rPr>
        <w:t xml:space="preserve">is not</w:t>
      </w:r>
      <w:r>
        <w:t xml:space="preserve"> </w:t>
      </w:r>
      <w:r>
        <w:t xml:space="preserve">a claim that any single product is the only way to deploy the architecture: every artifact names a deployed example and preserves the substitution path, because the mechanism is the invariant. And it</w:t>
      </w:r>
      <w:r>
        <w:t xml:space="preserve"> </w:t>
      </w:r>
      <w:r>
        <w:rPr>
          <w:b/>
          <w:bCs/>
        </w:rPr>
        <w:t xml:space="preserve">is not</w:t>
      </w:r>
      <w:r>
        <w:t xml:space="preserve"> </w:t>
      </w:r>
      <w:r>
        <w:t xml:space="preserve">a replacement for the operate-and-tune discipline: deployed detections rot, baselines drift, and sources silently stop emitting — the standing engineering capability that maintains these artifacts is the real cost, addressed per-book and validated in Book VI-08.</w:t>
      </w:r>
    </w:p>
    <w:bookmarkEnd w:id="18"/>
    <w:bookmarkStart w:id="19" w:name="cross-references"/>
    <w:p>
      <w:pPr>
        <w:pStyle w:val="Heading1"/>
      </w:pPr>
      <w:r>
        <w:t xml:space="preserve">6. Cross-References</w:t>
      </w:r>
    </w:p>
    <w:p>
      <w:pPr>
        <w:pStyle w:val="Compact"/>
        <w:numPr>
          <w:ilvl w:val="0"/>
          <w:numId w:val="1001"/>
        </w:numPr>
      </w:pPr>
      <w:r>
        <w:rPr>
          <w:b/>
          <w:bCs/>
        </w:rPr>
        <w:t xml:space="preserve">Architecture spine:</w:t>
      </w:r>
      <w:r>
        <w:t xml:space="preserve"> </w:t>
      </w:r>
      <w:r>
        <w:t xml:space="preserve">the four doctrine volumes (I–IV) each carry the control-closure claims this volume operationalizes.</w:t>
      </w:r>
    </w:p>
    <w:p>
      <w:pPr>
        <w:pStyle w:val="Compact"/>
        <w:numPr>
          <w:ilvl w:val="0"/>
          <w:numId w:val="1001"/>
        </w:numPr>
      </w:pPr>
      <w:r>
        <w:rPr>
          <w:b/>
          <w:bCs/>
        </w:rPr>
        <w:t xml:space="preserve">Evidence contract:</w:t>
      </w:r>
      <w:r>
        <w:t xml:space="preserve"> </w:t>
      </w:r>
      <w:r>
        <w:t xml:space="preserve">the normalized deployment-evidence record every artifact emits (Book VI-07).</w:t>
      </w:r>
    </w:p>
    <w:p>
      <w:pPr>
        <w:pStyle w:val="Compact"/>
        <w:numPr>
          <w:ilvl w:val="0"/>
          <w:numId w:val="1001"/>
        </w:numPr>
      </w:pPr>
      <w:r>
        <w:rPr>
          <w:b/>
          <w:bCs/>
        </w:rPr>
        <w:t xml:space="preserve">Series compliance spine:</w:t>
      </w:r>
      <w:r>
        <w:t xml:space="preserve"> </w:t>
      </w:r>
      <w:r>
        <w:rPr>
          <w:rStyle w:val="VerbatimChar"/>
        </w:rPr>
        <w:t xml:space="preserve">federal-compliance-compliance-spine.yml</w:t>
      </w:r>
      <w:r>
        <w:t xml:space="preserve"> </w:t>
      </w:r>
      <w:r>
        <w:t xml:space="preserve">— the single source of truth for the control × book closure map.</w:t>
      </w:r>
    </w:p>
    <w:bookmarkEnd w:id="19"/>
    <w:bookmarkStart w:id="20" w:name="provenance"/>
    <w:p>
      <w:pPr>
        <w:pStyle w:val="Heading1"/>
      </w:pPr>
      <w:r>
        <w:t xml:space="preserve">7. Provenance</w:t>
      </w:r>
    </w:p>
    <w:p>
      <w:pPr>
        <w:pStyle w:val="FirstParagraph"/>
      </w:pPr>
      <w:r>
        <w:t xml:space="preserve">This overview establishes the deployable-artifact layer of the Federal Compliance series. It follows the series authoring conventions: functions and planes are named, not organizations; products are deployed examples of a mechanism, never the mechanism itself; and every artifact carries a Date Code and cites vendor sources for vendor-specific claims.</w:t>
      </w:r>
    </w:p>
    <w:bookmarkEnd w:id="20"/>
    <w:bookmarkStart w:id="22" w:name="X8370e8c548a65b81ec17d9ad6cc210ed489b073"/>
    <w:p>
      <w:pPr>
        <w:pStyle w:val="Heading1"/>
      </w:pPr>
      <w:r>
        <w:t xml:space="preserve">8. 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hyperlink r:id="rId21">
        <w:r>
          <w:rPr>
            <w:rStyle w:val="Hyperlink"/>
            <w:b/>
            <w:bCs/>
          </w:rPr>
          <w:t xml:space="preserve">Vol X Book 00 — Governance-Substrate Integration</w:t>
        </w:r>
      </w:hyperlink>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End w:id="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1" Target="Vol_X_Book_00_Governance_Substrate_Integration_Overview.md" TargetMode="External" /></Relationships>
</file>

<file path=word/_rels/footnotes.xml.rels><?xml version="1.0" encoding="UTF-8"?><Relationships xmlns="http://schemas.openxmlformats.org/package/2006/relationships"><Relationship Type="http://schemas.openxmlformats.org/officeDocument/2006/relationships/hyperlink" Id="rId21" Target="Vol_X_Book_00_Governance_Substrate_Integration_Overview.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VI Book 00 — Federal Compliance — Implementation Overview</dc:title>
  <dc:creator>Federal Cloud Services</dc:creator>
  <cp:keywords/>
  <dcterms:created xsi:type="dcterms:W3CDTF">2026-10-19T10:10:21Z</dcterms:created>
  <dcterms:modified xsi:type="dcterms:W3CDTF">2026-10-19T10:10:21Z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2026-07-19 20:20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The deployable-artifact layer: how the architecture volumes are actually stood up, in-boundary and as code</vt:lpwstr>
  </property>
  <property fmtid="{D5CDD505-2E9C-101B-9397-08002B2CF9AE}" pid="16" name="toc-title">
    <vt:lpwstr>Table of contents</vt:lpwstr>
  </property>
</Properties>
</file>