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 Book 01 — Federal Compliance — Landing Zone &amp; Network as Code</w:t>
      </w:r>
    </w:p>
    <w:p>
      <w:pPr>
        <w:pStyle w:val="Subtitle"/>
      </w:pPr>
      <w:r>
        <w:t xml:space="preserve">Infrastructure-as-code for the landing zone, IPAM/DDI, and the distributed policy-enforcement edge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2026-07-09 19:13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2026-07-09 15:13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 Book 01. This is the deployable realization of</w:t>
      </w:r>
      <w:r>
        <w:t xml:space="preserve"> </w:t>
      </w:r>
      <w:r>
        <w:rPr>
          <w:b/>
          <w:bCs/>
        </w:rPr>
        <w:t xml:space="preserve">Volume I (Foundation &amp; Transport)</w:t>
      </w:r>
      <w:r>
        <w:t xml:space="preserve">: the landing zone, IPAM/DDI naming-and-addressing plane, and the SASE/TIC distributed policy-enforcement edge, expressed as infrastructure-as-code applied through the Book VI-00 pipeline.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Volume I argues that authoritative naming/addressing and a distributed enforcement edge are the only mechanisms that close the DNS-authority, boundary-protection, and component-inventory controls: you cannot attest authoritative name resolution without an authoritative resolver, and you cannot inventory what you cannot enumerate. No scanner creates that source of truth; it can only measure drift from one.</w:t>
      </w:r>
    </w:p>
    <w:p>
      <w:pPr>
        <w:pStyle w:val="BodyText"/>
      </w:pPr>
      <w:r>
        <w:t xml:space="preserve">This book carries the code that stands the source of truth up. It expresses the landing-zone scaffolding, the DDI plane, and the enforcement-edge configuration as version-controlled modules, so the closure Volume I designs is reproducible from source and diffable against intent — not assembled by hand and then hoped to be correct.</w:t>
      </w:r>
    </w:p>
    <w:bookmarkEnd w:id="10"/>
    <w:bookmarkStart w:id="11" w:name="the-module-topology"/>
    <w:p>
      <w:pPr>
        <w:pStyle w:val="Heading1"/>
      </w:pPr>
      <w:r>
        <w:t xml:space="preserve">2. The Module Topology</w:t>
      </w:r>
    </w:p>
    <w:p>
      <w:pPr>
        <w:pStyle w:val="FirstParagraph"/>
      </w:pPr>
      <w:r>
        <w:t xml:space="preserve">The deployment is a layered set of modules, each owning one plane and depending only on the layer beneath it. The layering is deliberate: the naming/addressing plane must exist before workloads can be enumerated against it, and the enforcement edge must read from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Owns</w:t>
            </w:r>
          </w:p>
        </w:tc>
        <w:tc>
          <w:tcPr/>
          <w:p>
            <w:pPr>
              <w:pStyle w:val="Compact"/>
            </w:pPr>
            <w:r>
              <w:t xml:space="preserve">Depends 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Management groups, subscriptions/accounts, org policy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ipam</w:t>
            </w:r>
          </w:p>
        </w:tc>
        <w:tc>
          <w:tcPr/>
          <w:p>
            <w:pPr>
              <w:pStyle w:val="Compact"/>
            </w:pPr>
            <w:r>
              <w:t xml:space="preserve">Address-space allocation, subnet plan (source of truth)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ddi</w:t>
            </w:r>
          </w:p>
        </w:tc>
        <w:tc>
          <w:tcPr/>
          <w:p>
            <w:pPr>
              <w:pStyle w:val="Compact"/>
            </w:pPr>
            <w:r>
              <w:t xml:space="preserve">Authoritative DNS, DNSSEC signing, RPZ, DHCP scopes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Hub-spoke, segmentation, NGFW/route intent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Enforcement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edge</w:t>
            </w:r>
          </w:p>
        </w:tc>
        <w:tc>
          <w:tcPr/>
          <w:p>
            <w:pPr>
              <w:pStyle w:val="Compact"/>
            </w:pPr>
            <w:r>
              <w:t xml:space="preserve">SASE/TIC 3.0 PEP capability 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network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ddi</w:t>
            </w:r>
          </w:p>
        </w:tc>
      </w:tr>
    </w:tbl>
    <w:p>
      <w:pPr>
        <w:pStyle w:val="BodyText"/>
      </w:pPr>
      <w:r>
        <w:t xml:space="preserve">Each module emits its state to the evidence contract (Book VI-07); the</w:t>
      </w:r>
      <w:r>
        <w:t xml:space="preserve"> </w:t>
      </w:r>
      <w:r>
        <w:rPr>
          <w:rStyle w:val="VerbatimChar"/>
        </w:rPr>
        <w:t xml:space="preserve">ipam</w:t>
      </w:r>
      <w:r>
        <w:t xml:space="preserve"> </w:t>
      </w:r>
      <w:r>
        <w:t xml:space="preserve">module’s output — the authoritative address plan — is the join key that later makes CM-8 inventory possible.</w:t>
      </w:r>
    </w:p>
    <w:bookmarkEnd w:id="11"/>
    <w:bookmarkStart w:id="13" w:name="deployable-artifacts"/>
    <w:p>
      <w:pPr>
        <w:pStyle w:val="Heading1"/>
      </w:pPr>
      <w:r>
        <w:t xml:space="preserve">3. Deployable Artifacts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Realizes (Vol I)</w:t>
            </w:r>
          </w:p>
        </w:tc>
        <w:tc>
          <w:tcPr/>
          <w:p>
            <w:pPr>
              <w:pStyle w:val="Compact"/>
            </w:pPr>
            <w:r>
              <w:t xml:space="preserve">Deployed example</w:t>
            </w:r>
          </w:p>
        </w:tc>
        <w:tc>
          <w:tcPr/>
          <w:p>
            <w:pPr>
              <w:pStyle w:val="Compact"/>
            </w:pPr>
            <w:r>
              <w:t xml:space="preserve">Multi-CSP substitution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platform</w:t>
            </w:r>
            <w:r>
              <w:t xml:space="preserve"> </w:t>
            </w: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Governed cloud foundation</w:t>
            </w:r>
          </w:p>
        </w:tc>
        <w:tc>
          <w:tcPr/>
          <w:p>
            <w:pPr>
              <w:pStyle w:val="Compact"/>
            </w:pPr>
            <w:r>
              <w:t xml:space="preserve">Azure Landing Zone (Bicep/Terraform)</w:t>
            </w:r>
          </w:p>
        </w:tc>
        <w:tc>
          <w:tcPr/>
          <w:p>
            <w:pPr>
              <w:pStyle w:val="Compact"/>
            </w:pPr>
            <w:r>
              <w:t xml:space="preserve">AWS Control Tower + Terraform; GCP org policy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network</w:t>
            </w:r>
            <w:r>
              <w:t xml:space="preserve"> </w:t>
            </w:r>
            <w:r>
              <w:t xml:space="preserve">module (hub-spoke, segmentation, NGFW/route intent)</w:t>
            </w:r>
          </w:p>
        </w:tc>
        <w:tc>
          <w:tcPr/>
          <w:p>
            <w:pPr>
              <w:pStyle w:val="Compact"/>
            </w:pPr>
            <w:r>
              <w:t xml:space="preserve">SC-7 boundary + traffic-class separation</w:t>
            </w:r>
          </w:p>
        </w:tc>
        <w:tc>
          <w:tcPr/>
          <w:p>
            <w:pPr>
              <w:pStyle w:val="Compact"/>
            </w:pPr>
            <w:r>
              <w:t xml:space="preserve">Terraform (VNet, Azure Firewall)</w:t>
            </w:r>
          </w:p>
        </w:tc>
        <w:tc>
          <w:tcPr/>
          <w:p>
            <w:pPr>
              <w:pStyle w:val="Compact"/>
            </w:pPr>
            <w:r>
              <w:t xml:space="preserve">AWS VPC + Network Firewall; GCP VPC-SC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ddi</w:t>
            </w:r>
            <w:r>
              <w:t xml:space="preserve"> </w:t>
            </w:r>
            <w:r>
              <w:t xml:space="preserve">module (authoritative DNS, DNSSEC signing, RPZ, DHCP scopes)</w:t>
            </w:r>
          </w:p>
        </w:tc>
        <w:tc>
          <w:tcPr/>
          <w:p>
            <w:pPr>
              <w:pStyle w:val="Compact"/>
            </w:pPr>
            <w:r>
              <w:t xml:space="preserve">SC-20/21/22 naming plane; CM-8 address-keyed inventory</w:t>
            </w:r>
          </w:p>
        </w:tc>
        <w:tc>
          <w:tcPr/>
          <w:p>
            <w:pPr>
              <w:pStyle w:val="Compact"/>
            </w:pPr>
            <w:r>
              <w:t xml:space="preserve">InfoBlox / cloud DNS as code</w:t>
            </w:r>
          </w:p>
        </w:tc>
        <w:tc>
          <w:tcPr/>
          <w:p>
            <w:pPr>
              <w:pStyle w:val="Compact"/>
            </w:pPr>
            <w:r>
              <w:t xml:space="preserve">BlueCat; Route 53 + IPAM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edge</w:t>
            </w:r>
            <w:r>
              <w:t xml:space="preserve"> </w:t>
            </w:r>
            <w:r>
              <w:t xml:space="preserve">config (SASE/TIC 3.0 PEP capability set)</w:t>
            </w:r>
          </w:p>
        </w:tc>
        <w:tc>
          <w:tcPr/>
          <w:p>
            <w:pPr>
              <w:pStyle w:val="Compact"/>
            </w:pPr>
            <w:r>
              <w:t xml:space="preserve">AC-4 flow enforcement at the distributed PEP</w:t>
            </w:r>
          </w:p>
        </w:tc>
        <w:tc>
          <w:tcPr/>
          <w:p>
            <w:pPr>
              <w:pStyle w:val="Compact"/>
            </w:pPr>
            <w:r>
              <w:t xml:space="preserve">SASE tenant-as-code</w:t>
            </w:r>
          </w:p>
        </w:tc>
        <w:tc>
          <w:tcPr/>
          <w:p>
            <w:pPr>
              <w:pStyle w:val="Compact"/>
            </w:pPr>
            <w:r>
              <w:t xml:space="preserve">Zscaler/Netskope GovCloud config-as-code</w:t>
            </w:r>
          </w:p>
        </w:tc>
      </w:tr>
    </w:tbl>
    <w:bookmarkStart w:id="12" w:name="X78e8a438ba7cf13f5de47cc652e6842faaa4a2e"/>
    <w:p>
      <w:pPr>
        <w:pStyle w:val="Heading2"/>
      </w:pPr>
      <w:r>
        <w:t xml:space="preserve">3.1 Illustrative module — the DNSSEC-signed authoritative zone</w:t>
      </w:r>
    </w:p>
    <w:p>
      <w:pPr>
        <w:pStyle w:val="FirstParagraph"/>
      </w:pPr>
      <w:r>
        <w:t xml:space="preserve">The naming plane is the load-bearing one, because it is the source of truth SC-20/21/22 and CM-8 depend on. The zone, its DNSSEC signing posture, and its protective-DNS (RPZ) response policy are all declared, so</w:t>
      </w:r>
      <w:r>
        <w:t xml:space="preserve"> </w:t>
      </w:r>
      <w:r>
        <w:t xml:space="preserve">“the resolver is authoritative and signing”</w:t>
      </w:r>
      <w:r>
        <w:t xml:space="preserve"> </w:t>
      </w:r>
      <w:r>
        <w:t xml:space="preserve">is an attestable property of source, not a portal setting.</w:t>
      </w:r>
    </w:p>
    <w:p>
      <w:pPr>
        <w:pStyle w:val="SourceCode"/>
      </w:pPr>
      <w:r>
        <w:rPr>
          <w:rStyle w:val="VerbatimChar"/>
        </w:rPr>
        <w:t xml:space="preserve"># ddi module — authoritative, DNSSEC-signed zone with protective-DNS RPZ (deployed example: cloud DNS)</w:t>
      </w:r>
      <w:r>
        <w:br/>
      </w:r>
      <w:r>
        <w:rPr>
          <w:rStyle w:val="VerbatimChar"/>
        </w:rPr>
        <w:t xml:space="preserve">resource "dns_zone" "agency" {</w:t>
      </w:r>
      <w:r>
        <w:br/>
      </w:r>
      <w:r>
        <w:rPr>
          <w:rStyle w:val="VerbatimChar"/>
        </w:rPr>
        <w:t xml:space="preserve">  name        = var.zone_fqdn          # e.g. agency.gov</w:t>
      </w:r>
      <w:r>
        <w:br/>
      </w:r>
      <w:r>
        <w:rPr>
          <w:rStyle w:val="VerbatimChar"/>
        </w:rPr>
        <w:t xml:space="preserve">  dnssec      = "on"                    # SC-20: signed responses (data origin authentication)</w:t>
      </w:r>
      <w:r>
        <w:br/>
      </w:r>
      <w:r>
        <w:rPr>
          <w:rStyle w:val="VerbatimChar"/>
        </w:rPr>
        <w:t xml:space="preserve">  query_log   = "on"                    # SI-4 / AU-12: every resolution is telemetry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resource "dns_resolver" "agency" {</w:t>
      </w:r>
      <w:r>
        <w:br/>
      </w:r>
      <w:r>
        <w:rPr>
          <w:rStyle w:val="VerbatimChar"/>
        </w:rPr>
        <w:t xml:space="preserve">  dnssec_validation = "on"              # SC-21: recursive resolver validates upstream signatures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resource "dns_rpz_policy" "protective" {</w:t>
      </w:r>
      <w:r>
        <w:br/>
      </w:r>
      <w:r>
        <w:rPr>
          <w:rStyle w:val="VerbatimChar"/>
        </w:rPr>
        <w:t xml:space="preserve">  zone            = dns_zone.agency.id</w:t>
      </w:r>
      <w:r>
        <w:br/>
      </w:r>
      <w:r>
        <w:rPr>
          <w:rStyle w:val="VerbatimChar"/>
        </w:rPr>
        <w:t xml:space="preserve">  feed            = var.protective_dns_feed   # CISA Protective DNS / commercial TI</w:t>
      </w:r>
      <w:r>
        <w:br/>
      </w:r>
      <w:r>
        <w:rPr>
          <w:rStyle w:val="VerbatimChar"/>
        </w:rPr>
        <w:t xml:space="preserve">  action          = "nxdomain"                # SC-21 protective-DNS complement: block known-bad resolution</w:t>
      </w:r>
      <w:r>
        <w:br/>
      </w:r>
      <w:r>
        <w:rPr>
          <w:rStyle w:val="VerbatimChar"/>
        </w:rPr>
        <w:t xml:space="preserve">  log_only        = false                     # TUNE: run log_only first to baseline</w:t>
      </w:r>
      <w:r>
        <w:br/>
      </w:r>
      <w:r>
        <w:rPr>
          <w:rStyle w:val="VerbatimChar"/>
        </w:rPr>
        <w:t xml:space="preserve">}</w:t>
      </w:r>
      <w:r>
        <w:br/>
      </w:r>
      <w:r>
        <w:br/>
      </w:r>
      <w:r>
        <w:rPr>
          <w:rStyle w:val="VerbatimChar"/>
        </w:rPr>
        <w:t xml:space="preserve">output "authoritative_zone_id" {              # consumed by CM-8 inventory join</w:t>
      </w:r>
      <w:r>
        <w:br/>
      </w:r>
      <w:r>
        <w:rPr>
          <w:rStyle w:val="VerbatimChar"/>
        </w:rPr>
        <w:t xml:space="preserve">  value = dns_zone.agency.id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The DHCP scopes and the address plan come from the same</w:t>
      </w:r>
      <w:r>
        <w:t xml:space="preserve"> </w:t>
      </w:r>
      <w:r>
        <w:rPr>
          <w:rStyle w:val="VerbatimChar"/>
        </w:rPr>
        <w:t xml:space="preserve">ipam</w:t>
      </w:r>
      <w:r>
        <w:t xml:space="preserve"> </w:t>
      </w:r>
      <w:r>
        <w:t xml:space="preserve">source, so a device’s lease, its address, and its inventory record are one chain of custody rather than three independent guesses.</w:t>
      </w:r>
    </w:p>
    <w:bookmarkEnd w:id="12"/>
    <w:bookmarkEnd w:id="13"/>
    <w:bookmarkStart w:id="14" w:name="deployment"/>
    <w:p>
      <w:pPr>
        <w:pStyle w:val="Heading1"/>
      </w:pPr>
      <w:r>
        <w:t xml:space="preserve">4. Deployment</w:t>
      </w:r>
    </w:p>
    <w:p>
      <w:pPr>
        <w:pStyle w:val="Compact"/>
        <w:numPr>
          <w:ilvl w:val="0"/>
          <w:numId w:val="1001"/>
        </w:numPr>
      </w:pPr>
      <w:r>
        <w:t xml:space="preserve">Apply</w:t>
      </w:r>
      <w:r>
        <w:t xml:space="preserve"> </w:t>
      </w:r>
      <w:r>
        <w:rPr>
          <w:rStyle w:val="VerbatimChar"/>
        </w:rPr>
        <w:t xml:space="preserve">platform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ipam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ddi</w:t>
      </w:r>
      <w:r>
        <w:t xml:space="preserve">/</w:t>
      </w:r>
      <w:r>
        <w:rPr>
          <w:rStyle w:val="VerbatimChar"/>
        </w:rPr>
        <w:t xml:space="preserve">network</w:t>
      </w:r>
      <w:r>
        <w:t xml:space="preserve"> </w:t>
      </w:r>
      <w:r>
        <w:t xml:space="preserve">in dependency order through the change-controlled pipeline (Book VI-00) — never a portal.</w:t>
      </w:r>
    </w:p>
    <w:p>
      <w:pPr>
        <w:pStyle w:val="Compact"/>
        <w:numPr>
          <w:ilvl w:val="0"/>
          <w:numId w:val="1001"/>
        </w:numPr>
      </w:pPr>
      <w:r>
        <w:t xml:space="preserve">Run</w:t>
      </w:r>
      <w:r>
        <w:t xml:space="preserve"> </w:t>
      </w:r>
      <w:r>
        <w:rPr>
          <w:rStyle w:val="VerbatimChar"/>
        </w:rPr>
        <w:t xml:space="preserve">ddi</w:t>
      </w:r>
      <w:r>
        <w:t xml:space="preserve"> </w:t>
      </w:r>
      <w:r>
        <w:t xml:space="preserve">in RPZ</w:t>
      </w:r>
      <w:r>
        <w:t xml:space="preserve"> </w:t>
      </w:r>
      <w:r>
        <w:rPr>
          <w:rStyle w:val="VerbatimChar"/>
        </w:rPr>
        <w:t xml:space="preserve">log_only</w:t>
      </w:r>
      <w:r>
        <w:t xml:space="preserve"> </w:t>
      </w:r>
      <w:r>
        <w:t xml:space="preserve">mode first to baseline benign resolution, then flip to enforcing.</w:t>
      </w:r>
    </w:p>
    <w:p>
      <w:pPr>
        <w:pStyle w:val="Compact"/>
        <w:numPr>
          <w:ilvl w:val="0"/>
          <w:numId w:val="1001"/>
        </w:numPr>
      </w:pPr>
      <w:r>
        <w:t xml:space="preserve">Register the</w:t>
      </w:r>
      <w:r>
        <w:t xml:space="preserve"> </w:t>
      </w:r>
      <w:r>
        <w:rPr>
          <w:rStyle w:val="VerbatimChar"/>
        </w:rPr>
        <w:t xml:space="preserve">ipam</w:t>
      </w:r>
      <w:r>
        <w:t xml:space="preserve"> </w:t>
      </w:r>
      <w:r>
        <w:t xml:space="preserve">output as the authoritative inventory source the CM-8 join reads.</w:t>
      </w:r>
    </w:p>
    <w:p>
      <w:pPr>
        <w:pStyle w:val="Compact"/>
        <w:numPr>
          <w:ilvl w:val="0"/>
          <w:numId w:val="1001"/>
        </w:numPr>
      </w:pPr>
      <w:r>
        <w:t xml:space="preserve">Point the</w:t>
      </w:r>
      <w:r>
        <w:t xml:space="preserve"> </w:t>
      </w:r>
      <w:r>
        <w:rPr>
          <w:rStyle w:val="VerbatimChar"/>
        </w:rPr>
        <w:t xml:space="preserve">edge</w:t>
      </w:r>
      <w:r>
        <w:t xml:space="preserve"> </w:t>
      </w:r>
      <w:r>
        <w:t xml:space="preserve">(SASE/TIC PEP) at the</w:t>
      </w:r>
      <w:r>
        <w:t xml:space="preserve"> </w:t>
      </w:r>
      <w:r>
        <w:rPr>
          <w:rStyle w:val="VerbatimChar"/>
        </w:rPr>
        <w:t xml:space="preserve">ddi</w:t>
      </w:r>
      <w:r>
        <w:t xml:space="preserve"> </w:t>
      </w:r>
      <w:r>
        <w:t xml:space="preserve">resolver so egress name resolution is governed at the enforcement point.</w:t>
      </w:r>
    </w:p>
    <w:bookmarkEnd w:id="14"/>
    <w:bookmarkStart w:id="16" w:name="closure-necessity"/>
    <w:p>
      <w:pPr>
        <w:pStyle w:val="Heading1"/>
      </w:pPr>
      <w:r>
        <w:t xml:space="preserve">5. Closure Necessity</w:t>
      </w:r>
    </w:p>
    <w:bookmarkStart w:id="15" w:name="X2471db0d9577e72b4f7c7cbb79416cc7f36636c"/>
    <w:p>
      <w:pPr>
        <w:pStyle w:val="Heading2"/>
      </w:pPr>
      <w:r>
        <w:t xml:space="preserve">5.1 Closure Necessity — a source of truth you cannot re-derive is not one</w:t>
      </w:r>
    </w:p>
    <w:p>
      <w:pPr>
        <w:pStyle w:val="FirstParagraph"/>
      </w:pPr>
      <w:r>
        <w:t xml:space="preserve">Volume I’s claim is that no scanner</w:t>
      </w:r>
      <w:r>
        <w:t xml:space="preserve"> </w:t>
      </w:r>
      <w:r>
        <w:rPr>
          <w:i/>
          <w:iCs/>
        </w:rPr>
        <w:t xml:space="preserve">creates</w:t>
      </w:r>
      <w:r>
        <w:t xml:space="preserve"> </w:t>
      </w:r>
      <w:r>
        <w:t xml:space="preserve">authoritative naming or inventory — it only measures drift from a source of truth. This book is what makes that source of truth</w:t>
      </w:r>
      <w:r>
        <w:t xml:space="preserve"> </w:t>
      </w:r>
      <w:r>
        <w:rPr>
          <w:b/>
          <w:bCs/>
        </w:rPr>
        <w:t xml:space="preserve">reproducible</w:t>
      </w:r>
      <w:r>
        <w:t xml:space="preserve">: an IPAM/DDI plane and a boundary defined in code can be re-derived, diffed, and attested. A hand-built landing zone weakens the accuracy and completeness evidence CM-8’s System Component Inventory demands, because there is no authority to point at — only a snapshot no one can regenerate.</w:t>
      </w:r>
    </w:p>
    <w:bookmarkEnd w:id="15"/>
    <w:bookmarkEnd w:id="16"/>
    <w:bookmarkStart w:id="17" w:name="controls-operationalized"/>
    <w:p>
      <w:pPr>
        <w:pStyle w:val="Heading1"/>
      </w:pPr>
      <w:r>
        <w:t xml:space="preserve">6. Controls Operationalized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How this book deploys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SC-7</w:t>
            </w:r>
          </w:p>
        </w:tc>
        <w:tc>
          <w:tcPr/>
          <w:p>
            <w:pPr>
              <w:pStyle w:val="Compact"/>
            </w:pPr>
            <w:r>
              <w:t xml:space="preserve">Boundary Protection</w:t>
            </w:r>
          </w:p>
        </w:tc>
        <w:tc>
          <w:tcPr/>
          <w:p>
            <w:pPr>
              <w:pStyle w:val="Compact"/>
            </w:pPr>
            <w:r>
              <w:t xml:space="preserve">Segmentation + NGFW/route intent as code at the enforcement edge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SC-20</w:t>
            </w:r>
          </w:p>
        </w:tc>
        <w:tc>
          <w:tcPr/>
          <w:p>
            <w:pPr>
              <w:pStyle w:val="Compact"/>
            </w:pPr>
            <w:r>
              <w:t xml:space="preserve">Secure Name/Address Resolution Service (Authoritative Source)</w:t>
            </w:r>
          </w:p>
        </w:tc>
        <w:tc>
          <w:tcPr/>
          <w:p>
            <w:pPr>
              <w:pStyle w:val="Compact"/>
            </w:pPr>
            <w:r>
              <w:t xml:space="preserve">DNSSEC-signing authoritative resolver as 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SC-21</w:t>
            </w:r>
          </w:p>
        </w:tc>
        <w:tc>
          <w:tcPr/>
          <w:p>
            <w:pPr>
              <w:pStyle w:val="Compact"/>
            </w:pPr>
            <w:r>
              <w:t xml:space="preserve">Secure Name/Address Resolution Service (Recursive or Caching Resolver)</w:t>
            </w:r>
          </w:p>
        </w:tc>
        <w:tc>
          <w:tcPr/>
          <w:p>
            <w:pPr>
              <w:pStyle w:val="Compact"/>
            </w:pPr>
            <w:r>
              <w:t xml:space="preserve">Validating recursive resolver + RPZ protective DNS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SC-22</w:t>
            </w:r>
          </w:p>
        </w:tc>
        <w:tc>
          <w:tcPr/>
          <w:p>
            <w:pPr>
              <w:pStyle w:val="Compact"/>
            </w:pPr>
            <w:r>
              <w:t xml:space="preserve">Architecture and Provisioning for Name/Address Resolution Service</w:t>
            </w:r>
          </w:p>
        </w:tc>
        <w:tc>
          <w:tcPr/>
          <w:p>
            <w:pPr>
              <w:pStyle w:val="Compact"/>
            </w:pPr>
            <w:r>
              <w:t xml:space="preserve">Authoritative and recursive resolver roles declared as distinct resources in the</w:t>
            </w:r>
            <w:r>
              <w:t xml:space="preserve"> </w:t>
            </w:r>
            <w:r>
              <w:rPr>
                <w:rStyle w:val="VerbatimChar"/>
              </w:rPr>
              <w:t xml:space="preserve">ddi</w:t>
            </w:r>
            <w:r>
              <w:t xml:space="preserve"> </w:t>
            </w:r>
            <w:r>
              <w:t xml:space="preserve">module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CM-8</w:t>
            </w:r>
          </w:p>
        </w:tc>
        <w:tc>
          <w:tcPr/>
          <w:p>
            <w:pPr>
              <w:pStyle w:val="Compact"/>
            </w:pPr>
            <w:r>
              <w:t xml:space="preserve">System Component Inventory</w:t>
            </w:r>
          </w:p>
        </w:tc>
        <w:tc>
          <w:tcPr/>
          <w:p>
            <w:pPr>
              <w:pStyle w:val="Compact"/>
            </w:pPr>
            <w:r>
              <w:t xml:space="preserve">Address-keyed inventory derived from the IPAM source of truth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AC-4</w:t>
            </w:r>
          </w:p>
        </w:tc>
        <w:tc>
          <w:tcPr/>
          <w:p>
            <w:pPr>
              <w:pStyle w:val="Compact"/>
            </w:pPr>
            <w:r>
              <w:t xml:space="preserve">Information Flow Enforcement</w:t>
            </w:r>
          </w:p>
        </w:tc>
        <w:tc>
          <w:tcPr/>
          <w:p>
            <w:pPr>
              <w:pStyle w:val="Compact"/>
            </w:pPr>
            <w:r>
              <w:t xml:space="preserve">Application-aware flow policy at the SASE/TIC PEP</w:t>
            </w:r>
          </w:p>
        </w:tc>
      </w:tr>
    </w:tbl>
    <w:bookmarkEnd w:id="17"/>
    <w:bookmarkStart w:id="18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The IaC deploys the</w:t>
      </w:r>
      <w:r>
        <w:t xml:space="preserve"> </w:t>
      </w:r>
      <w:r>
        <w:rPr>
          <w:i/>
          <w:iCs/>
        </w:rPr>
        <w:t xml:space="preserve">mechanism</w:t>
      </w:r>
      <w:r>
        <w:t xml:space="preserve">; it does not repeal operational discipline — an out-of-band portal change still causes drift, which is why Book VI-08’s smoke tests re-assert the intended state.</w:t>
      </w:r>
    </w:p>
    <w:p>
      <w:pPr>
        <w:pStyle w:val="Compact"/>
        <w:numPr>
          <w:ilvl w:val="0"/>
          <w:numId w:val="1002"/>
        </w:numPr>
      </w:pPr>
      <w:r>
        <w:t xml:space="preserve">Protective-DNS efficacy is bounded by the threat-intelligence feed the agency subscribes to (the RPZ is only as current as its feed).</w:t>
      </w:r>
    </w:p>
    <w:p>
      <w:pPr>
        <w:pStyle w:val="Compact"/>
        <w:numPr>
          <w:ilvl w:val="0"/>
          <w:numId w:val="1002"/>
        </w:numPr>
      </w:pPr>
      <w:r>
        <w:t xml:space="preserve">Multi-CSP substitution changes the module syntax and the connector estate; the naming/addressing/enforcement mechanism it realizes is invariant.</w:t>
      </w:r>
    </w:p>
    <w:bookmarkEnd w:id="18"/>
    <w:bookmarkStart w:id="19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Volume I — Foundation &amp; Transport</w:t>
      </w:r>
      <w:r>
        <w:t xml:space="preserve"> </w:t>
      </w:r>
      <w:r>
        <w:t xml:space="preserve">— the architecture this book deploys.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VI-00</w:t>
      </w:r>
      <w:r>
        <w:t xml:space="preserve"> </w:t>
      </w:r>
      <w:r>
        <w:t xml:space="preserve">— the pipeline and evidence-emission model.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VI-06</w:t>
      </w:r>
      <w:r>
        <w:t xml:space="preserve"> </w:t>
      </w:r>
      <w:r>
        <w:t xml:space="preserve">— the baselines that harden the deployed platform.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VI-07</w:t>
      </w:r>
      <w:r>
        <w:t xml:space="preserve"> </w:t>
      </w:r>
      <w:r>
        <w:t xml:space="preserve">— where deployment state emits to the evidence contract.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Book VI-08</w:t>
      </w:r>
      <w:r>
        <w:t xml:space="preserve"> </w:t>
      </w:r>
      <w:r>
        <w:t xml:space="preserve">— smoke tests that re-assert the deployed boundary.</w:t>
      </w:r>
    </w:p>
    <w:bookmarkEnd w:id="19"/>
    <w:bookmarkStart w:id="20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Products named are deployed examples of the naming/addressing and enforcement mechanisms Volume I identifies; multi-CSP substitutions preserve the mechanism. The Terraform above is an illustrative pattern to adapt, not a drop-in module — validate against the agency’s cloud and current provider schema. Vendor-specific IaC claims cite vendor documentation as the source.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 Book 01 — Federal Compliance — Landing Zone &amp; Network as Code</dc:title>
  <dc:creator>Federal Cloud Services</dc:creator>
  <cp:keywords/>
  <dcterms:created xsi:type="dcterms:W3CDTF">2026-10-19T10:10:21Z</dcterms:created>
  <dcterms:modified xsi:type="dcterms:W3CDTF">2026-10-19T10:10:21Z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2026-07-09 19:13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Infrastructure-as-code for the landing zone, IPAM/DDI, and the distributed policy-enforcement edge</vt:lpwstr>
  </property>
  <property fmtid="{D5CDD505-2E9C-101B-9397-08002B2CF9AE}" pid="16" name="toc-title">
    <vt:lpwstr>Table of contents</vt:lpwstr>
  </property>
</Properties>
</file>