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VI Book 02 — Federal Compliance — Identity &amp; Access as Code</w:t>
      </w:r>
    </w:p>
    <w:p>
      <w:pPr>
        <w:pStyle w:val="Subtitle"/>
      </w:pPr>
      <w:r>
        <w:t xml:space="preserve">Conditional Access, privileged-access, port-authentication, and certificate lifecycle expressed as versioned policy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2026-07-09 19:13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2026-07-09 15:13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VI Book 02. Deployable realization of the identity plane of</w:t>
      </w:r>
      <w:r>
        <w:t xml:space="preserve"> </w:t>
      </w:r>
      <w:r>
        <w:rPr>
          <w:b/>
          <w:bCs/>
        </w:rPr>
        <w:t xml:space="preserve">Volume I</w:t>
      </w:r>
      <w:r>
        <w:t xml:space="preserve"> </w:t>
      </w:r>
      <w:r>
        <w:t xml:space="preserve">and the privileged-access architecture of</w:t>
      </w:r>
      <w:r>
        <w:t xml:space="preserve"> </w:t>
      </w:r>
      <w:r>
        <w:rPr>
          <w:b/>
          <w:bCs/>
        </w:rPr>
        <w:t xml:space="preserve">Volume III (PAM)</w:t>
      </w:r>
      <w:r>
        <w:t xml:space="preserve">: Conditional Access, PIM/JIT, port authentication, and certificate lifecycle as versioned policy applied through the Book VI-00 pipeline.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The architecture volumes establish that a verified identity, phishing-resistant authentication, and just-in-time elevation are the mechanisms that gate access. Those decisions are worthless as portal clicks — a Conditional Access estate no one can diff is a control no assessor can trace, and IA-2/AC-6 become assertions rather than evidence.</w:t>
      </w:r>
    </w:p>
    <w:p>
      <w:pPr>
        <w:pStyle w:val="BodyText"/>
      </w:pPr>
      <w:r>
        <w:t xml:space="preserve">This book expresses the access decisions as code: Conditional Access as a reviewable policy set, privileged roles as declarative JIT configuration, port authentication as profiles, and certificates as an automated lifecycle. The invariant it enforces is that</w:t>
      </w:r>
      <w:r>
        <w:t xml:space="preserve"> </w:t>
      </w:r>
      <w:r>
        <w:rPr>
          <w:b/>
          <w:bCs/>
        </w:rPr>
        <w:t xml:space="preserve">every access decision has a reviewable source of truth</w:t>
      </w:r>
      <w:r>
        <w:t xml:space="preserve"> </w:t>
      </w:r>
      <w:r>
        <w:t xml:space="preserve">that the pipeline applies and Book VI-08 re-asserts.</w:t>
      </w:r>
    </w:p>
    <w:bookmarkEnd w:id="10"/>
    <w:bookmarkStart w:id="11" w:name="the-policy-as-code-model"/>
    <w:p>
      <w:pPr>
        <w:pStyle w:val="Heading1"/>
      </w:pPr>
      <w:r>
        <w:t xml:space="preserve">2. The Policy-as-Code Model</w:t>
      </w:r>
    </w:p>
    <w:p>
      <w:pPr>
        <w:pStyle w:val="FirstParagraph"/>
      </w:pPr>
      <w:r>
        <w:t xml:space="preserve">Access policy is held as declarative files, applied idempotently, and guarded by two safety rules that prevent the classic self-lockout and silent-drift failures.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As-code form</w:t>
            </w:r>
          </w:p>
        </w:tc>
        <w:tc>
          <w:tcPr/>
          <w:p>
            <w:pPr>
              <w:pStyle w:val="Compact"/>
            </w:pPr>
            <w:r>
              <w:t xml:space="preserve">Safety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Conditional Access</w:t>
            </w:r>
          </w:p>
        </w:tc>
        <w:tc>
          <w:tcPr/>
          <w:p>
            <w:pPr>
              <w:pStyle w:val="Compact"/>
            </w:pPr>
            <w:r>
              <w:t xml:space="preserve">Policy JSON per named scenario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break-glass</w:t>
            </w:r>
            <w:r>
              <w:t xml:space="preserve"> </w:t>
            </w:r>
            <w:r>
              <w:t xml:space="preserve">exclusion group is mandatory in every blocking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roles</w:t>
            </w:r>
          </w:p>
        </w:tc>
        <w:tc>
          <w:tcPr/>
          <w:p>
            <w:pPr>
              <w:pStyle w:val="Compact"/>
            </w:pPr>
            <w:r>
              <w:t xml:space="preserve">PIM role-setting policy</w:t>
            </w:r>
          </w:p>
        </w:tc>
        <w:tc>
          <w:tcPr/>
          <w:p>
            <w:pPr>
              <w:pStyle w:val="Compact"/>
            </w:pPr>
            <w:r>
              <w:t xml:space="preserve">Activation requires approval + justification + MFA; no standing global admin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 authentication</w:t>
            </w:r>
          </w:p>
        </w:tc>
        <w:tc>
          <w:tcPr/>
          <w:p>
            <w:pPr>
              <w:pStyle w:val="Compact"/>
            </w:pPr>
            <w:r>
              <w:t xml:space="preserve">802.1X EAP-TLS + MAB profiles</w:t>
            </w:r>
          </w:p>
        </w:tc>
        <w:tc>
          <w:tcPr/>
          <w:p>
            <w:pPr>
              <w:pStyle w:val="Compact"/>
            </w:pPr>
            <w:r>
              <w:t xml:space="preserve">Certificate-based device identity; MAB only for enumerated exceptions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Certificates</w:t>
            </w:r>
          </w:p>
        </w:tc>
        <w:tc>
          <w:tcPr/>
          <w:p>
            <w:pPr>
              <w:pStyle w:val="Compact"/>
            </w:pPr>
            <w:r>
              <w:t xml:space="preserve">ACME / short-lived issuance policy</w:t>
            </w:r>
          </w:p>
        </w:tc>
        <w:tc>
          <w:tcPr/>
          <w:p>
            <w:pPr>
              <w:pStyle w:val="Compact"/>
            </w:pPr>
            <w:r>
              <w:t xml:space="preserve">Rotation automated; no long-lived secrets in config</w:t>
            </w:r>
          </w:p>
        </w:tc>
      </w:tr>
    </w:tbl>
    <w:bookmarkEnd w:id="11"/>
    <w:bookmarkStart w:id="13" w:name="deployable-artifacts"/>
    <w:p>
      <w:pPr>
        <w:pStyle w:val="Heading1"/>
      </w:pPr>
      <w:r>
        <w:t xml:space="preserve">3. Deployable Artifacts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Artifact</w:t>
            </w:r>
          </w:p>
        </w:tc>
        <w:tc>
          <w:tcPr/>
          <w:p>
            <w:pPr>
              <w:pStyle w:val="Compact"/>
            </w:pPr>
            <w:r>
              <w:t xml:space="preserve">Realizes</w:t>
            </w:r>
          </w:p>
        </w:tc>
        <w:tc>
          <w:tcPr/>
          <w:p>
            <w:pPr>
              <w:pStyle w:val="Compact"/>
            </w:pPr>
            <w:r>
              <w:t xml:space="preserve">Deployed example</w:t>
            </w:r>
          </w:p>
        </w:tc>
        <w:tc>
          <w:tcPr/>
          <w:p>
            <w:pPr>
              <w:pStyle w:val="Compact"/>
            </w:pPr>
            <w:r>
              <w:t xml:space="preserve">Multi-CSP substitution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Conditional Access policy set (as code via Graph)</w:t>
            </w:r>
          </w:p>
        </w:tc>
        <w:tc>
          <w:tcPr/>
          <w:p>
            <w:pPr>
              <w:pStyle w:val="Compact"/>
            </w:pPr>
            <w:r>
              <w:t xml:space="preserve">IA-2, AC-3 access decisions</w:t>
            </w:r>
          </w:p>
        </w:tc>
        <w:tc>
          <w:tcPr/>
          <w:p>
            <w:pPr>
              <w:pStyle w:val="Compact"/>
            </w:pPr>
            <w:r>
              <w:t xml:space="preserve">Entra CA JSON/Bicep/Terraform</w:t>
            </w:r>
          </w:p>
        </w:tc>
        <w:tc>
          <w:tcPr/>
          <w:p>
            <w:pPr>
              <w:pStyle w:val="Compact"/>
            </w:pPr>
            <w:r>
              <w:t xml:space="preserve">Okta/Ping policy-as-code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PIM / JIT role configuration</w:t>
            </w:r>
          </w:p>
        </w:tc>
        <w:tc>
          <w:tcPr/>
          <w:p>
            <w:pPr>
              <w:pStyle w:val="Compact"/>
            </w:pPr>
            <w:r>
              <w:t xml:space="preserve">AC-5/6 separation of duties and least privilege, IA-11 re-auth</w:t>
            </w:r>
          </w:p>
        </w:tc>
        <w:tc>
          <w:tcPr/>
          <w:p>
            <w:pPr>
              <w:pStyle w:val="Compact"/>
            </w:pPr>
            <w:r>
              <w:t xml:space="preserve">Entra PIM as code</w:t>
            </w:r>
          </w:p>
        </w:tc>
        <w:tc>
          <w:tcPr/>
          <w:p>
            <w:pPr>
              <w:pStyle w:val="Compact"/>
            </w:pPr>
            <w:r>
              <w:t xml:space="preserve">CyberArk/BeyondTrust JIT config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Port-authentication profiles (802.1X EAP-TLS, MAB)</w:t>
            </w:r>
          </w:p>
        </w:tc>
        <w:tc>
          <w:tcPr/>
          <w:p>
            <w:pPr>
              <w:pStyle w:val="Compact"/>
            </w:pPr>
            <w:r>
              <w:t xml:space="preserve">IA-3 device identity at the edge</w:t>
            </w:r>
          </w:p>
        </w:tc>
        <w:tc>
          <w:tcPr/>
          <w:p>
            <w:pPr>
              <w:pStyle w:val="Compact"/>
            </w:pPr>
            <w:r>
              <w:t xml:space="preserve">NPS/RADIUS + switch profiles</w:t>
            </w:r>
          </w:p>
        </w:tc>
        <w:tc>
          <w:tcPr/>
          <w:p>
            <w:pPr>
              <w:pStyle w:val="Compact"/>
            </w:pPr>
            <w:r>
              <w:t xml:space="preserve">Cisco ISE / Aruba ClearPass profiles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Certificate lifecycle automation (ACME, short-lived certs)</w:t>
            </w:r>
          </w:p>
        </w:tc>
        <w:tc>
          <w:tcPr/>
          <w:p>
            <w:pPr>
              <w:pStyle w:val="Compact"/>
            </w:pPr>
            <w:r>
              <w:t xml:space="preserve">IA-5(2), SC-17</w:t>
            </w:r>
          </w:p>
        </w:tc>
        <w:tc>
          <w:tcPr/>
          <w:p>
            <w:pPr>
              <w:pStyle w:val="Compact"/>
            </w:pPr>
            <w:r>
              <w:t xml:space="preserve">Keyfactor/Sectigo + ACME as code</w:t>
            </w:r>
          </w:p>
        </w:tc>
        <w:tc>
          <w:tcPr/>
          <w:p>
            <w:pPr>
              <w:pStyle w:val="Compact"/>
            </w:pPr>
            <w:r>
              <w:t xml:space="preserve">Venafi / AppViewX</w:t>
            </w:r>
          </w:p>
        </w:tc>
      </w:tr>
    </w:tbl>
    <w:bookmarkStart w:id="12" w:name="X91ca4a484a70aa6340292a460760aa1370e3c18"/>
    <w:p>
      <w:pPr>
        <w:pStyle w:val="Heading2"/>
      </w:pPr>
      <w:r>
        <w:t xml:space="preserve">3.1 Illustrative artifact — a phishing-resistant Conditional Access policy as code</w:t>
      </w:r>
    </w:p>
    <w:p>
      <w:pPr>
        <w:pStyle w:val="FirstParagraph"/>
      </w:pPr>
      <w:r>
        <w:t xml:space="preserve">The policy below requires a phishing-resistant authentication strength for all users reaching any cloud app, with the mandatory break-glass exclusion. Held as code, it is diffable against intent; a reviewer can see in the pull request that the exclusion group is present and scoped, which a portal screenshot can never prove over time.</w:t>
      </w:r>
    </w:p>
    <w:p>
      <w:pPr>
        <w:pStyle w:val="SourceCode"/>
      </w:pPr>
      <w:r>
        <w:rPr>
          <w:rStyle w:val="VerbatimChar"/>
        </w:rPr>
        <w:t xml:space="preserve">// Conditional Access policy (deployed example: Entra, applied via Graph) — IA-2(1)/(2)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"displayName": "CA001 - Require phishing-resistant MFA for all cloud apps",</w:t>
      </w:r>
      <w:r>
        <w:br/>
      </w:r>
      <w:r>
        <w:rPr>
          <w:rStyle w:val="VerbatimChar"/>
        </w:rPr>
        <w:t xml:space="preserve">  "state": "enabled",</w:t>
      </w:r>
      <w:r>
        <w:br/>
      </w:r>
      <w:r>
        <w:rPr>
          <w:rStyle w:val="VerbatimChar"/>
        </w:rPr>
        <w:t xml:space="preserve">  "conditions": {</w:t>
      </w:r>
      <w:r>
        <w:br/>
      </w:r>
      <w:r>
        <w:rPr>
          <w:rStyle w:val="VerbatimChar"/>
        </w:rPr>
        <w:t xml:space="preserve">    "users":        { "includeUsers": ["All"], "excludeGroups": ["grp-breakglass"] }, // SAFETY: break-glass</w:t>
      </w:r>
      <w:r>
        <w:br/>
      </w:r>
      <w:r>
        <w:rPr>
          <w:rStyle w:val="VerbatimChar"/>
        </w:rPr>
        <w:t xml:space="preserve">    "applications": { "includeApplications": ["All"] },</w:t>
      </w:r>
      <w:r>
        <w:br/>
      </w:r>
      <w:r>
        <w:rPr>
          <w:rStyle w:val="VerbatimChar"/>
        </w:rPr>
        <w:t xml:space="preserve">    "clientAppTypes": ["all"]</w:t>
      </w:r>
      <w:r>
        <w:br/>
      </w:r>
      <w:r>
        <w:rPr>
          <w:rStyle w:val="VerbatimChar"/>
        </w:rPr>
        <w:t xml:space="preserve">  },</w:t>
      </w:r>
      <w:r>
        <w:br/>
      </w:r>
      <w:r>
        <w:rPr>
          <w:rStyle w:val="VerbatimChar"/>
        </w:rPr>
        <w:t xml:space="preserve">  "grantControls": {</w:t>
      </w:r>
      <w:r>
        <w:br/>
      </w:r>
      <w:r>
        <w:rPr>
          <w:rStyle w:val="VerbatimChar"/>
        </w:rPr>
        <w:t xml:space="preserve">    "operator": "OR",</w:t>
      </w:r>
      <w:r>
        <w:br/>
      </w:r>
      <w:r>
        <w:rPr>
          <w:rStyle w:val="VerbatimChar"/>
        </w:rPr>
        <w:t xml:space="preserve">    "authenticationStrength": { "id": "phishing-resistant" }   // BOD 25-01 / M-22-09 alignment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The PIM configuration is the privileged-access counterpart: it declares that eligible roles require approval, justification, and MFA to activate, and that no principal holds a standing high-privilege assignment — so AC-6 least privilege is a property of the declared role policy, not an audit finding waiting to happen.</w:t>
      </w:r>
    </w:p>
    <w:bookmarkEnd w:id="12"/>
    <w:bookmarkEnd w:id="13"/>
    <w:bookmarkStart w:id="14" w:name="deployment"/>
    <w:p>
      <w:pPr>
        <w:pStyle w:val="Heading1"/>
      </w:pPr>
      <w:r>
        <w:t xml:space="preserve">4. Deployment</w:t>
      </w:r>
    </w:p>
    <w:p>
      <w:pPr>
        <w:pStyle w:val="Compact"/>
        <w:numPr>
          <w:ilvl w:val="0"/>
          <w:numId w:val="1001"/>
        </w:numPr>
      </w:pPr>
      <w:r>
        <w:t xml:space="preserve">Apply Conditional Access in</w:t>
      </w:r>
      <w:r>
        <w:t xml:space="preserve"> </w:t>
      </w:r>
      <w:r>
        <w:rPr>
          <w:b/>
          <w:bCs/>
        </w:rPr>
        <w:t xml:space="preserve">report-only</w:t>
      </w:r>
      <w:r>
        <w:t xml:space="preserve"> </w:t>
      </w:r>
      <w:r>
        <w:t xml:space="preserve">first, review the impact against sign-in logs, then enable — the break-glass exclusion is verified present before any policy is set to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Apply PIM role settings; migrate any standing privileged assignments to eligible-with-approval.</w:t>
      </w:r>
    </w:p>
    <w:p>
      <w:pPr>
        <w:pStyle w:val="Compact"/>
        <w:numPr>
          <w:ilvl w:val="0"/>
          <w:numId w:val="1001"/>
        </w:numPr>
      </w:pPr>
      <w:r>
        <w:t xml:space="preserve">Deploy 802.1X EAP-TLS profiles (Vol I Book 03 supplies the cert authority they trust).</w:t>
      </w:r>
    </w:p>
    <w:p>
      <w:pPr>
        <w:pStyle w:val="Compact"/>
        <w:numPr>
          <w:ilvl w:val="0"/>
          <w:numId w:val="1001"/>
        </w:numPr>
      </w:pPr>
      <w:r>
        <w:t xml:space="preserve">Stand up ACME/short-lived certificate automation so no long-lived credential lives in a config file.</w:t>
      </w:r>
    </w:p>
    <w:bookmarkEnd w:id="14"/>
    <w:bookmarkStart w:id="16" w:name="closure-necessity"/>
    <w:p>
      <w:pPr>
        <w:pStyle w:val="Heading1"/>
      </w:pPr>
      <w:r>
        <w:t xml:space="preserve">5. Closure Necessity</w:t>
      </w:r>
    </w:p>
    <w:bookmarkStart w:id="15" w:name="X7e51f63d057805b5420bbd53362c2017b651708"/>
    <w:p>
      <w:pPr>
        <w:pStyle w:val="Heading2"/>
      </w:pPr>
      <w:r>
        <w:t xml:space="preserve">5.1 Closure Necessity — a policy you cannot review is a policy you cannot assess</w:t>
      </w:r>
    </w:p>
    <w:p>
      <w:pPr>
        <w:pStyle w:val="FirstParagraph"/>
      </w:pPr>
      <w:r>
        <w:t xml:space="preserve">Volume I/III prove that phishing-resistant, JIT-scoped identity is the closure mechanism. This book makes those decisions</w:t>
      </w:r>
      <w:r>
        <w:t xml:space="preserve"> </w:t>
      </w:r>
      <w:r>
        <w:rPr>
          <w:b/>
          <w:bCs/>
        </w:rPr>
        <w:t xml:space="preserve">reviewable</w:t>
      </w:r>
      <w:r>
        <w:t xml:space="preserve">: Conditional Access and privileged-role settings held as code can be diffed against intent and attested. Portal-clicked access policy has no reviewable source — IA-2 and AC-6 become assertions no assessor can trace, and drift is invisible until it is a finding.</w:t>
      </w:r>
    </w:p>
    <w:bookmarkEnd w:id="15"/>
    <w:bookmarkEnd w:id="16"/>
    <w:bookmarkStart w:id="17" w:name="controls-operationalized"/>
    <w:p>
      <w:pPr>
        <w:pStyle w:val="Heading1"/>
      </w:pPr>
      <w:r>
        <w:t xml:space="preserve">6. Controls Operationalized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How this book deploys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IA-2(1)/(2)</w:t>
            </w:r>
          </w:p>
        </w:tc>
        <w:tc>
          <w:tcPr/>
          <w:p>
            <w:pPr>
              <w:pStyle w:val="Compact"/>
            </w:pPr>
            <w:r>
              <w:t xml:space="preserve">Identification &amp; Authentication (MFA)</w:t>
            </w:r>
          </w:p>
        </w:tc>
        <w:tc>
          <w:tcPr/>
          <w:p>
            <w:pPr>
              <w:pStyle w:val="Compact"/>
            </w:pPr>
            <w:r>
              <w:t xml:space="preserve">Phishing-resistant CA policy set as 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AC-2/5/6</w:t>
            </w:r>
          </w:p>
        </w:tc>
        <w:tc>
          <w:tcPr/>
          <w:p>
            <w:pPr>
              <w:pStyle w:val="Compact"/>
            </w:pPr>
            <w:r>
              <w:t xml:space="preserve">Account Management / Separation of Duties / Least Privilege</w:t>
            </w:r>
          </w:p>
        </w:tc>
        <w:tc>
          <w:tcPr/>
          <w:p>
            <w:pPr>
              <w:pStyle w:val="Compact"/>
            </w:pPr>
            <w:r>
              <w:t xml:space="preserve">PIM/JIT role config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IA-3</w:t>
            </w:r>
          </w:p>
        </w:tc>
        <w:tc>
          <w:tcPr/>
          <w:p>
            <w:pPr>
              <w:pStyle w:val="Compact"/>
            </w:pPr>
            <w:r>
              <w:t xml:space="preserve">Device Identification &amp; Authentication</w:t>
            </w:r>
          </w:p>
        </w:tc>
        <w:tc>
          <w:tcPr/>
          <w:p>
            <w:pPr>
              <w:pStyle w:val="Compact"/>
            </w:pPr>
            <w:r>
              <w:t xml:space="preserve">802.1X EAP-TLS profiles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IA-5(2)/SC-17</w:t>
            </w:r>
          </w:p>
        </w:tc>
        <w:tc>
          <w:tcPr/>
          <w:p>
            <w:pPr>
              <w:pStyle w:val="Compact"/>
            </w:pPr>
            <w:r>
              <w:t xml:space="preserve">Public Key-based Authentication / Public Key Infrastructure Certificates</w:t>
            </w:r>
          </w:p>
        </w:tc>
        <w:tc>
          <w:tcPr/>
          <w:p>
            <w:pPr>
              <w:pStyle w:val="Compact"/>
            </w:pPr>
            <w:r>
              <w:t xml:space="preserve">Certificate lifecycle automation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IA-11</w:t>
            </w:r>
          </w:p>
        </w:tc>
        <w:tc>
          <w:tcPr/>
          <w:p>
            <w:pPr>
              <w:pStyle w:val="Compact"/>
            </w:pPr>
            <w:r>
              <w:t xml:space="preserve">Re-authentication</w:t>
            </w:r>
          </w:p>
        </w:tc>
        <w:tc>
          <w:tcPr/>
          <w:p>
            <w:pPr>
              <w:pStyle w:val="Compact"/>
            </w:pPr>
            <w:r>
              <w:t xml:space="preserve">PIM activation re-auth; sign-in frequency in CA</w:t>
            </w:r>
          </w:p>
        </w:tc>
      </w:tr>
    </w:tbl>
    <w:bookmarkEnd w:id="17"/>
    <w:bookmarkStart w:id="18" w:name="honest-limits"/>
    <w:p>
      <w:pPr>
        <w:pStyle w:val="Heading1"/>
      </w:pPr>
      <w:r>
        <w:t xml:space="preserve">7. Honest Limits</w:t>
      </w:r>
    </w:p>
    <w:p>
      <w:pPr>
        <w:pStyle w:val="Compact"/>
        <w:numPr>
          <w:ilvl w:val="0"/>
          <w:numId w:val="1002"/>
        </w:numPr>
      </w:pPr>
      <w:r>
        <w:t xml:space="preserve">Conditional Access as code governs the</w:t>
      </w:r>
      <w:r>
        <w:t xml:space="preserve"> </w:t>
      </w:r>
      <w:r>
        <w:rPr>
          <w:i/>
          <w:iCs/>
        </w:rPr>
        <w:t xml:space="preserve">policy</w:t>
      </w:r>
      <w:r>
        <w:t xml:space="preserve">; a global administrator can still change it out of band — Book VI-08 diffs deployed state against the source to catch that.</w:t>
      </w:r>
    </w:p>
    <w:p>
      <w:pPr>
        <w:pStyle w:val="Compact"/>
        <w:numPr>
          <w:ilvl w:val="0"/>
          <w:numId w:val="1002"/>
        </w:numPr>
      </w:pPr>
      <w:r>
        <w:t xml:space="preserve">The break-glass account is a deliberate, monitored exception; its use must itself be a high-severity Book VI-03 detection.</w:t>
      </w:r>
    </w:p>
    <w:p>
      <w:pPr>
        <w:pStyle w:val="Compact"/>
        <w:numPr>
          <w:ilvl w:val="0"/>
          <w:numId w:val="1002"/>
        </w:numPr>
      </w:pPr>
      <w:r>
        <w:t xml:space="preserve">Substituting the identity provider changes the policy syntax and the connectors; the access-decision mechanism is invariant.</w:t>
      </w:r>
    </w:p>
    <w:bookmarkEnd w:id="18"/>
    <w:bookmarkStart w:id="19" w:name="cross-references"/>
    <w:p>
      <w:pPr>
        <w:pStyle w:val="Heading1"/>
      </w:pPr>
      <w:r>
        <w:t xml:space="preserve">8. Cross-References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Volume I (identity plane)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Volume III (PAM)</w:t>
      </w:r>
      <w:r>
        <w:t xml:space="preserve"> </w:t>
      </w:r>
      <w:r>
        <w:t xml:space="preserve">— the architecture this book deploys.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 Book 03</w:t>
      </w:r>
      <w:r>
        <w:t xml:space="preserve"> </w:t>
      </w:r>
      <w:r>
        <w:t xml:space="preserve">— the certificate authority the port-auth profiles trust.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VI-04</w:t>
      </w:r>
      <w:r>
        <w:t xml:space="preserve"> </w:t>
      </w:r>
      <w:r>
        <w:t xml:space="preserve">— SOAR playbooks that consume identity risk to drive revocation.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VI-07</w:t>
      </w:r>
      <w:r>
        <w:t xml:space="preserve"> </w:t>
      </w:r>
      <w:r>
        <w:t xml:space="preserve">— access-policy state and reviews emit to the evidence contract.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VI-08</w:t>
      </w:r>
      <w:r>
        <w:t xml:space="preserve"> </w:t>
      </w:r>
      <w:r>
        <w:t xml:space="preserve">— deployed-vs-intended policy diffing.</w:t>
      </w:r>
    </w:p>
    <w:bookmarkEnd w:id="19"/>
    <w:bookmarkStart w:id="20" w:name="provenance"/>
    <w:p>
      <w:pPr>
        <w:pStyle w:val="Heading1"/>
      </w:pPr>
      <w:r>
        <w:t xml:space="preserve">9. Provenance</w:t>
      </w:r>
    </w:p>
    <w:p>
      <w:pPr>
        <w:pStyle w:val="FirstParagraph"/>
      </w:pPr>
      <w:r>
        <w:t xml:space="preserve">Draft. Products are deployed examples; substitution columns preserve the mechanism. The policy JSON is an illustrative pattern to adapt, not a drop-in policy — validate against the tenant and current Graph schema. Vendor capability claims name deployed examples and substitution candidates; their vendor-documentation sources are carried in the briefing deck spec, not inline here.</w:t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VI Book 02 — Federal Compliance — Identity &amp; Access as Code</dc:title>
  <dc:creator>Federal Cloud Services</dc:creator>
  <cp:keywords/>
  <dcterms:created xsi:type="dcterms:W3CDTF">2026-10-19T10:10:22Z</dcterms:created>
  <dcterms:modified xsi:type="dcterms:W3CDTF">2026-10-19T10:10:22Z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2026-07-09 19:13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Conditional Access, privileged-access, port-authentication, and certificate lifecycle expressed as versioned policy</vt:lpwstr>
  </property>
  <property fmtid="{D5CDD505-2E9C-101B-9397-08002B2CF9AE}" pid="16" name="toc-title">
    <vt:lpwstr>Table of contents</vt:lpwstr>
  </property>
</Properties>
</file>