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Vol VI Book 04 — Federal Compliance — Response Automation: The SOAR Playbook Library</w:t>
      </w:r>
    </w:p>
    <w:p>
      <w:pPr>
        <w:pStyle w:val="Subtitle"/>
      </w:pPr>
      <w:r>
        <w:t xml:space="preserve">Automated containment and enrichment playbooks that convert a detection into a bounded response</w:t>
      </w:r>
    </w:p>
    <w:p>
      <w:pPr>
        <w:pStyle w:val="Author"/>
      </w:pPr>
      <w:r>
        <w:t xml:space="preserve">Federal Cloud Services</w:t>
      </w:r>
    </w:p>
    <w:p>
      <w:pPr>
        <w:pStyle w:val="Date"/>
      </w:pPr>
      <w:r>
        <w:t xml:space="preserve">2026-07-09 19:13 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draft-proposal-subject-to-review"/>
    <w:p>
      <w:pPr>
        <w:pStyle w:val="Heading2"/>
      </w:pPr>
      <w:r>
        <w:t xml:space="preserve">0.1 Draft Proposal — Subject to Review</w:t>
      </w:r>
    </w:p>
    <w:p>
      <w:pPr>
        <w:pStyle w:val="FirstParagraph"/>
      </w:pP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; not yet reviewed or approved by the Agency CIO Office, OIS, or leadership.</w:t>
      </w:r>
      <w:r>
        <w:t xml:space="preserve"> </w:t>
      </w:r>
      <w:r>
        <w:rPr>
          <w:b/>
          <w:bCs/>
        </w:rPr>
        <w:t xml:space="preserve">Date Code:</w:t>
      </w:r>
      <w:r>
        <w:t xml:space="preserve"> </w:t>
      </w:r>
      <w:r>
        <w:t xml:space="preserve">2026-07-09 15:13 ET</w:t>
      </w:r>
    </w:p>
    <w:bookmarkEnd w:id="9"/>
    <w:p>
      <w:pPr>
        <w:pStyle w:val="BodyText"/>
      </w:pPr>
      <w:r>
        <w:rPr>
          <w:b/>
          <w:bCs/>
        </w:rPr>
        <w:t xml:space="preserve">Series Context</w:t>
      </w:r>
      <w:r>
        <w:t xml:space="preserve"> </w:t>
      </w:r>
      <w:r>
        <w:t xml:space="preserve">— Volume VI Book 04. The response half of the detection engine: the playbooks that Book VI-03’s rules trigger. It rebuilds the</w:t>
      </w:r>
      <w:r>
        <w:t xml:space="preserve"> </w:t>
      </w:r>
      <w:r>
        <w:rPr>
          <w:i/>
          <w:iCs/>
        </w:rPr>
        <w:t xml:space="preserve">containment speed</w:t>
      </w:r>
      <w:r>
        <w:t xml:space="preserve"> </w:t>
      </w:r>
      <w:r>
        <w:t xml:space="preserve">that a commercial cloud’s real-time revocation provides, approximated in-boundary to minutes.</w:t>
      </w:r>
    </w:p>
    <w:bookmarkStart w:id="10" w:name="what-this-document-addresses"/>
    <w:p>
      <w:pPr>
        <w:pStyle w:val="Heading1"/>
      </w:pPr>
      <w:r>
        <w:t xml:space="preserve">1. What This Document Addresses</w:t>
      </w:r>
    </w:p>
    <w:p>
      <w:pPr>
        <w:pStyle w:val="FirstParagraph"/>
      </w:pPr>
      <w:r>
        <w:t xml:space="preserve">Detection without response only shortens the investigation, not the exposure. The Volume III SIEM/XDR architecture ends at the alert; this book carries the automation that acts on it. It is the in-boundary substitute for the sub-second Continuous Access Evaluation revocation the boundary removes — and it is honest that the substitute lands at minutes, not sub-second, because a playbook triggered by a scheduled analytic cannot beat the analytic’s cadence.</w:t>
      </w:r>
    </w:p>
    <w:p>
      <w:pPr>
        <w:pStyle w:val="BodyText"/>
      </w:pPr>
      <w:r>
        <w:t xml:space="preserve">The design rule for every playbook here is</w:t>
      </w:r>
      <w:r>
        <w:t xml:space="preserve"> </w:t>
      </w:r>
      <w:r>
        <w:rPr>
          <w:b/>
          <w:bCs/>
        </w:rPr>
        <w:t xml:space="preserve">confidence-gated action</w:t>
      </w:r>
      <w:r>
        <w:t xml:space="preserve">: high-confidence detections auto-contain; medium-confidence detections enrich and ticket for a human; nothing low-confidence auto-acts. Auto-containment on a noisy rule is its own denial-of-service.</w:t>
      </w:r>
    </w:p>
    <w:bookmarkEnd w:id="10"/>
    <w:bookmarkStart w:id="11" w:name="the-response-ladder"/>
    <w:p>
      <w:pPr>
        <w:pStyle w:val="Heading1"/>
      </w:pPr>
      <w:r>
        <w:t xml:space="preserve">2. The Response Ladder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Confidence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Human in loop?</w:t>
            </w:r>
          </w:p>
        </w:tc>
        <w:tc>
          <w:tcPr/>
          <w:p>
            <w:pPr>
              <w:pStyle w:val="Compact"/>
            </w:pPr>
            <w:r>
              <w:t xml:space="preserve">Substitutes for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High (e.g. rule 04 session-anomaly with corroboration)</w:t>
            </w:r>
          </w:p>
        </w:tc>
        <w:tc>
          <w:tcPr/>
          <w:p>
            <w:pPr>
              <w:pStyle w:val="Compact"/>
            </w:pPr>
            <w:r>
              <w:t xml:space="preserve">Revoke sessions, confirm-compromised, force re-auth</w:t>
            </w:r>
          </w:p>
        </w:tc>
        <w:tc>
          <w:tcPr/>
          <w:p>
            <w:pPr>
              <w:pStyle w:val="Compact"/>
            </w:pPr>
            <w:r>
              <w:t xml:space="preserve">No — auto</w:t>
            </w:r>
          </w:p>
        </w:tc>
        <w:tc>
          <w:tcPr/>
          <w:p>
            <w:pPr>
              <w:pStyle w:val="Compact"/>
            </w:pPr>
            <w:r>
              <w:t xml:space="preserve">CAE sub-second revocation (→ minutes)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Enrich (identity/device/IP context), open ticket, raise risk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Vendor auto-remediation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Standing control</w:t>
            </w:r>
          </w:p>
        </w:tc>
        <w:tc>
          <w:tcPr/>
          <w:p>
            <w:pPr>
              <w:pStyle w:val="Compact"/>
            </w:pPr>
            <w:r>
              <w:t xml:space="preserve">Bound token lifetime to 60–90 min</w:t>
            </w:r>
          </w:p>
        </w:tc>
        <w:tc>
          <w:tcPr/>
          <w:p>
            <w:pPr>
              <w:pStyle w:val="Compact"/>
            </w:pPr>
            <w:r>
              <w:t xml:space="preserve">n/a — config</w:t>
            </w:r>
          </w:p>
        </w:tc>
        <w:tc>
          <w:tcPr/>
          <w:p>
            <w:pPr>
              <w:pStyle w:val="Compact"/>
            </w:pPr>
            <w:r>
              <w:t xml:space="preserve">CAE exposure ceiling</w:t>
            </w:r>
          </w:p>
        </w:tc>
      </w:tr>
    </w:tbl>
    <w:bookmarkEnd w:id="11"/>
    <w:bookmarkStart w:id="13" w:name="deployable-artifacts"/>
    <w:p>
      <w:pPr>
        <w:pStyle w:val="Heading1"/>
      </w:pPr>
      <w:r>
        <w:t xml:space="preserve">3. Deployable Artifacts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Playbook</w:t>
            </w:r>
          </w:p>
        </w:tc>
        <w:tc>
          <w:tcPr/>
          <w:p>
            <w:pPr>
              <w:pStyle w:val="Compact"/>
            </w:pPr>
            <w:r>
              <w:t xml:space="preserve">Trigger (Book VI-03)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Substitutes for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revoke-session</w:t>
            </w:r>
          </w:p>
        </w:tc>
        <w:tc>
          <w:tcPr/>
          <w:p>
            <w:pPr>
              <w:pStyle w:val="Compact"/>
            </w:pPr>
            <w:r>
              <w:t xml:space="preserve">Token-theft / session-anomaly (rule 04)</w:t>
            </w:r>
          </w:p>
        </w:tc>
        <w:tc>
          <w:tcPr/>
          <w:p>
            <w:pPr>
              <w:pStyle w:val="Compact"/>
            </w:pPr>
            <w:r>
              <w:t xml:space="preserve">Graph</w:t>
            </w:r>
            <w:r>
              <w:t xml:space="preserve"> </w:t>
            </w:r>
            <w:r>
              <w:rPr>
                <w:rStyle w:val="VerbatimChar"/>
              </w:rPr>
              <w:t xml:space="preserve">revokeSignInSessions</w:t>
            </w:r>
            <w:r>
              <w:t xml:space="preserve"> </w:t>
            </w:r>
            <w:r>
              <w:t xml:space="preserve">+ confirm-compromised</w:t>
            </w:r>
          </w:p>
        </w:tc>
        <w:tc>
          <w:tcPr/>
          <w:p>
            <w:pPr>
              <w:pStyle w:val="Compact"/>
            </w:pPr>
            <w:r>
              <w:t xml:space="preserve">CAE sub-second revocation (→ minutes)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disable-principal</w:t>
            </w:r>
          </w:p>
        </w:tc>
        <w:tc>
          <w:tcPr/>
          <w:p>
            <w:pPr>
              <w:pStyle w:val="Compact"/>
            </w:pPr>
            <w:r>
              <w:t xml:space="preserve">High-confidence account compromise</w:t>
            </w:r>
          </w:p>
        </w:tc>
        <w:tc>
          <w:tcPr/>
          <w:p>
            <w:pPr>
              <w:pStyle w:val="Compact"/>
            </w:pPr>
            <w:r>
              <w:t xml:space="preserve">Disable account, block sign-in</w:t>
            </w:r>
          </w:p>
        </w:tc>
        <w:tc>
          <w:tcPr/>
          <w:p>
            <w:pPr>
              <w:pStyle w:val="Compact"/>
            </w:pPr>
            <w:r>
              <w:t xml:space="preserve">Automated account containment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short-token-lifetime</w:t>
            </w:r>
            <w:r>
              <w:t xml:space="preserve"> </w:t>
            </w:r>
            <w:r>
              <w:t xml:space="preserve">(config)</w:t>
            </w:r>
          </w:p>
        </w:tc>
        <w:tc>
          <w:tcPr/>
          <w:p>
            <w:pPr>
              <w:pStyle w:val="Compact"/>
            </w:pPr>
            <w:r>
              <w:t xml:space="preserve">Standing control</w:t>
            </w:r>
          </w:p>
        </w:tc>
        <w:tc>
          <w:tcPr/>
          <w:p>
            <w:pPr>
              <w:pStyle w:val="Compact"/>
            </w:pPr>
            <w:r>
              <w:t xml:space="preserve">Bound token lifetime to 60–90 min</w:t>
            </w:r>
          </w:p>
        </w:tc>
        <w:tc>
          <w:tcPr/>
          <w:p>
            <w:pPr>
              <w:pStyle w:val="Compact"/>
            </w:pPr>
            <w:r>
              <w:t xml:space="preserve">CAE exposure ceiling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enrich-and-ticket</w:t>
            </w:r>
          </w:p>
        </w:tc>
        <w:tc>
          <w:tcPr/>
          <w:p>
            <w:pPr>
              <w:pStyle w:val="Compact"/>
            </w:pPr>
            <w:r>
              <w:t xml:space="preserve">Medium-confidence detections</w:t>
            </w:r>
          </w:p>
        </w:tc>
        <w:tc>
          <w:tcPr/>
          <w:p>
            <w:pPr>
              <w:pStyle w:val="Compact"/>
            </w:pPr>
            <w:r>
              <w:t xml:space="preserve">Enrich with identity/device context, open ticket (human-in-loop)</w:t>
            </w:r>
          </w:p>
        </w:tc>
        <w:tc>
          <w:tcPr/>
          <w:p>
            <w:pPr>
              <w:pStyle w:val="Compact"/>
            </w:pPr>
            <w:r>
              <w:t xml:space="preserve">Vendor auto-remediation</w:t>
            </w:r>
          </w:p>
        </w:tc>
      </w:tr>
    </w:tbl>
    <w:bookmarkStart w:id="12" w:name="Xc17390e3564bd0d39f3dcc473a28fd10ec1e857"/>
    <w:p>
      <w:pPr>
        <w:pStyle w:val="Heading2"/>
      </w:pPr>
      <w:r>
        <w:t xml:space="preserve">3.1 Illustrative playbook — session revocation on a high-confidence session anomaly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revoke-session</w:t>
      </w:r>
      <w:r>
        <w:t xml:space="preserve"> </w:t>
      </w:r>
      <w:r>
        <w:t xml:space="preserve">playbook is the containment path for Book VI-03 rule 04. It runs entirely in-boundary against the management plane; the containment action is a Graph call, and the whole run is itself logged as an incident action into the evidence contract.</w:t>
      </w:r>
    </w:p>
    <w:p>
      <w:pPr>
        <w:pStyle w:val="SourceCode"/>
      </w:pPr>
      <w:r>
        <w:rPr>
          <w:rStyle w:val="VerbatimChar"/>
        </w:rPr>
        <w:t xml:space="preserve">// Logic App / Automation runbook (deployed example) — pseudocode of the revoke-session flow</w:t>
      </w:r>
      <w:r>
        <w:br/>
      </w: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"trigger": "Sentinel incident: rule 'token-theft-session-anomaly'",</w:t>
      </w:r>
      <w:r>
        <w:br/>
      </w:r>
      <w:r>
        <w:rPr>
          <w:rStyle w:val="VerbatimChar"/>
        </w:rPr>
        <w:t xml:space="preserve">  "steps": [</w:t>
      </w:r>
      <w:r>
        <w:br/>
      </w:r>
      <w:r>
        <w:rPr>
          <w:rStyle w:val="VerbatimChar"/>
        </w:rPr>
        <w:t xml:space="preserve">    { "guard": "incident.severity == 'High' &amp;&amp; entities.Account != null" },        // confidence gate</w:t>
      </w:r>
      <w:r>
        <w:br/>
      </w:r>
      <w:r>
        <w:rPr>
          <w:rStyle w:val="VerbatimChar"/>
        </w:rPr>
        <w:t xml:space="preserve">    { "graph": "POST /users/{account}/revokeSignInSessions" },                      // AC-12 containment</w:t>
      </w:r>
      <w:r>
        <w:br/>
      </w:r>
      <w:r>
        <w:rPr>
          <w:rStyle w:val="VerbatimChar"/>
        </w:rPr>
        <w:t xml:space="preserve">    { "graph": "PATCH /identityProtection/riskyUsers/confirmCompromised",</w:t>
      </w:r>
      <w:r>
        <w:br/>
      </w:r>
      <w:r>
        <w:rPr>
          <w:rStyle w:val="VerbatimChar"/>
        </w:rPr>
        <w:t xml:space="preserve">      "body": { "userIds": ["{account}"] } },                                       // raise risk state</w:t>
      </w:r>
      <w:r>
        <w:br/>
      </w:r>
      <w:r>
        <w:rPr>
          <w:rStyle w:val="VerbatimChar"/>
        </w:rPr>
        <w:t xml:space="preserve">    { "ticket": "create IR record, link Sentinel incident, attach entity context" },// IR-4 record</w:t>
      </w:r>
      <w:r>
        <w:br/>
      </w:r>
      <w:r>
        <w:rPr>
          <w:rStyle w:val="VerbatimChar"/>
        </w:rPr>
        <w:t xml:space="preserve">    { "evidence": "emit response-action to the evidence contract (Book VI-07)" }     // CA-7 evidence</w:t>
      </w:r>
      <w:r>
        <w:br/>
      </w:r>
      <w:r>
        <w:rPr>
          <w:rStyle w:val="VerbatimChar"/>
        </w:rPr>
        <w:t xml:space="preserve">  ],</w:t>
      </w:r>
      <w:r>
        <w:br/>
      </w:r>
      <w:r>
        <w:rPr>
          <w:rStyle w:val="VerbatimChar"/>
        </w:rPr>
        <w:t xml:space="preserve">  "notes": "Containment latency = detection cadence (minutes), not CAE sub-second. TUNE the confidence gate."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short-token-lifetime</w:t>
      </w:r>
      <w:r>
        <w:t xml:space="preserve"> </w:t>
      </w:r>
      <w:r>
        <w:t xml:space="preserve">artifact is not a playbook but a standing configuration: it bounds the maximum exposure window so that even a</w:t>
      </w:r>
      <w:r>
        <w:t xml:space="preserve"> </w:t>
      </w:r>
      <w:r>
        <w:rPr>
          <w:i/>
          <w:iCs/>
        </w:rPr>
        <w:t xml:space="preserve">missed</w:t>
      </w:r>
      <w:r>
        <w:t xml:space="preserve"> </w:t>
      </w:r>
      <w:r>
        <w:t xml:space="preserve">detection cannot leave a stolen token valid indefinitely. It is the exposure ceiling under which the playbooks operate.</w:t>
      </w:r>
    </w:p>
    <w:bookmarkEnd w:id="12"/>
    <w:bookmarkEnd w:id="13"/>
    <w:bookmarkStart w:id="14" w:name="deployment"/>
    <w:p>
      <w:pPr>
        <w:pStyle w:val="Heading1"/>
      </w:pPr>
      <w:r>
        <w:t xml:space="preserve">4. Deployment</w:t>
      </w:r>
    </w:p>
    <w:p>
      <w:pPr>
        <w:pStyle w:val="Compact"/>
        <w:numPr>
          <w:ilvl w:val="0"/>
          <w:numId w:val="1001"/>
        </w:numPr>
      </w:pPr>
      <w:r>
        <w:t xml:space="preserve">Deploy playbooks through the pipeline (Book VI-00); grant the automation identity only the Graph scopes each action needs (least privilege — the revocation identity should not also be able to create accounts).</w:t>
      </w:r>
    </w:p>
    <w:p>
      <w:pPr>
        <w:pStyle w:val="Compact"/>
        <w:numPr>
          <w:ilvl w:val="0"/>
          <w:numId w:val="1001"/>
        </w:numPr>
      </w:pPr>
      <w:r>
        <w:t xml:space="preserve">Wire each Book VI-03 rule to its playbook via the SIEM automation rules; start every auto-containment playbook in</w:t>
      </w:r>
      <w:r>
        <w:t xml:space="preserve"> </w:t>
      </w:r>
      <w:r>
        <w:rPr>
          <w:b/>
          <w:bCs/>
        </w:rPr>
        <w:t xml:space="preserve">alert-only</w:t>
      </w:r>
      <w:r>
        <w:t xml:space="preserve"> </w:t>
      </w:r>
      <w:r>
        <w:t xml:space="preserve">mode and promote to auto-action only after the triggering rule’s false-positive rate is measured (Vol III Book 06).</w:t>
      </w:r>
    </w:p>
    <w:p>
      <w:pPr>
        <w:pStyle w:val="Compact"/>
        <w:numPr>
          <w:ilvl w:val="0"/>
          <w:numId w:val="1001"/>
        </w:numPr>
      </w:pPr>
      <w:r>
        <w:t xml:space="preserve">Set the standing token-lifetime bound in the certificate &amp; token identity plane (Vol I Book 03).</w:t>
      </w:r>
    </w:p>
    <w:bookmarkEnd w:id="14"/>
    <w:bookmarkStart w:id="16" w:name="closure-necessity"/>
    <w:p>
      <w:pPr>
        <w:pStyle w:val="Heading1"/>
      </w:pPr>
      <w:r>
        <w:t xml:space="preserve">5. Closure Necessity</w:t>
      </w:r>
    </w:p>
    <w:bookmarkStart w:id="15" w:name="Xa6e46eded25d977f0b0ce83c2861aa050c2d2a9"/>
    <w:p>
      <w:pPr>
        <w:pStyle w:val="Heading2"/>
      </w:pPr>
      <w:r>
        <w:t xml:space="preserve">5.1 Closure Necessity — a detection with no response is exposure, not control</w:t>
      </w:r>
    </w:p>
    <w:p>
      <w:pPr>
        <w:pStyle w:val="FirstParagraph"/>
      </w:pPr>
      <w:r>
        <w:t xml:space="preserve">IR-4 requires incident</w:t>
      </w:r>
      <w:r>
        <w:t xml:space="preserve"> </w:t>
      </w:r>
      <w:r>
        <w:rPr>
          <w:i/>
          <w:iCs/>
        </w:rPr>
        <w:t xml:space="preserve">handling</w:t>
      </w:r>
      <w:r>
        <w:t xml:space="preserve">, not just detection. These playbooks are what convert a Book VI-03 firing into a bounded containment action and a documented incident record — the artifact an assessor asks for. Without them, the detection layer shortens time-to-know but not time-to-contain, and the token-theft window stays open for the full token lifetime.</w:t>
      </w:r>
    </w:p>
    <w:bookmarkEnd w:id="15"/>
    <w:bookmarkEnd w:id="16"/>
    <w:bookmarkStart w:id="17" w:name="controls-operationalized"/>
    <w:p>
      <w:pPr>
        <w:pStyle w:val="Heading1"/>
      </w:pPr>
      <w:r>
        <w:t xml:space="preserve">6. Controls Operationalized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How this book deploys 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IR-4/6</w:t>
            </w:r>
          </w:p>
        </w:tc>
        <w:tc>
          <w:tcPr/>
          <w:p>
            <w:pPr>
              <w:pStyle w:val="Compact"/>
            </w:pPr>
            <w:r>
              <w:t xml:space="preserve">Incident Handling / Reporting</w:t>
            </w:r>
          </w:p>
        </w:tc>
        <w:tc>
          <w:tcPr/>
          <w:p>
            <w:pPr>
              <w:pStyle w:val="Compact"/>
            </w:pPr>
            <w:r>
              <w:t xml:space="preserve">Automated containment + enriched incident records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AC-12</w:t>
            </w:r>
          </w:p>
        </w:tc>
        <w:tc>
          <w:tcPr/>
          <w:p>
            <w:pPr>
              <w:pStyle w:val="Compact"/>
            </w:pPr>
            <w:r>
              <w:t xml:space="preserve">Session Termination</w:t>
            </w:r>
          </w:p>
        </w:tc>
        <w:tc>
          <w:tcPr/>
          <w:p>
            <w:pPr>
              <w:pStyle w:val="Compact"/>
            </w:pPr>
            <w:r>
              <w:t xml:space="preserve">Session revocation + short token lifetime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AC-2(13)</w:t>
            </w:r>
          </w:p>
        </w:tc>
        <w:tc>
          <w:tcPr/>
          <w:p>
            <w:pPr>
              <w:pStyle w:val="Compact"/>
            </w:pPr>
            <w:r>
              <w:t xml:space="preserve">Disable Accounts (high-risk)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disable-principal</w:t>
            </w:r>
            <w:r>
              <w:t xml:space="preserve"> </w:t>
            </w:r>
            <w:r>
              <w:t xml:space="preserve">on high-confidence compromise</w:t>
            </w:r>
          </w:p>
        </w:tc>
      </w:tr>
    </w:tbl>
    <w:bookmarkEnd w:id="17"/>
    <w:bookmarkStart w:id="18" w:name="honest-limits"/>
    <w:p>
      <w:pPr>
        <w:pStyle w:val="Heading1"/>
      </w:pPr>
      <w:r>
        <w:t xml:space="preserve">7. Honest Limits</w:t>
      </w:r>
    </w:p>
    <w:p>
      <w:pPr>
        <w:pStyle w:val="Compact"/>
        <w:numPr>
          <w:ilvl w:val="0"/>
          <w:numId w:val="1002"/>
        </w:numPr>
      </w:pPr>
      <w:r>
        <w:t xml:space="preserve">Containment is</w:t>
      </w:r>
      <w:r>
        <w:t xml:space="preserve"> </w:t>
      </w:r>
      <w:r>
        <w:rPr>
          <w:b/>
          <w:bCs/>
        </w:rPr>
        <w:t xml:space="preserve">minutes, not sub-second</w:t>
      </w:r>
      <w:r>
        <w:t xml:space="preserve"> </w:t>
      </w:r>
      <w:r>
        <w:t xml:space="preserve">— bounded by the detection cadence. The</w:t>
      </w:r>
      <w:r>
        <w:t xml:space="preserve"> </w:t>
      </w:r>
      <w:r>
        <w:rPr>
          <w:rStyle w:val="VerbatimChar"/>
        </w:rPr>
        <w:t xml:space="preserve">short-token-lifetime</w:t>
      </w:r>
      <w:r>
        <w:t xml:space="preserve"> </w:t>
      </w:r>
      <w:r>
        <w:t xml:space="preserve">config is the standing ceiling that makes that latency tolerable.</w:t>
      </w:r>
    </w:p>
    <w:p>
      <w:pPr>
        <w:pStyle w:val="Compact"/>
        <w:numPr>
          <w:ilvl w:val="0"/>
          <w:numId w:val="1002"/>
        </w:numPr>
      </w:pPr>
      <w:r>
        <w:t xml:space="preserve">Auto-containment amplifies a noisy rule into an availability incident; the confidence gate and the alert-only ramp (Vol III Book 06) are mandatory, not optional.</w:t>
      </w:r>
    </w:p>
    <w:p>
      <w:pPr>
        <w:pStyle w:val="Compact"/>
        <w:numPr>
          <w:ilvl w:val="0"/>
          <w:numId w:val="1002"/>
        </w:numPr>
      </w:pPr>
      <w:r>
        <w:t xml:space="preserve">The playbooks act only on the agency’s own tenant; a compromised identity federated elsewhere is outside their reach.</w:t>
      </w:r>
    </w:p>
    <w:bookmarkEnd w:id="18"/>
    <w:bookmarkStart w:id="19" w:name="cross-references"/>
    <w:p>
      <w:pPr>
        <w:pStyle w:val="Heading1"/>
      </w:pPr>
      <w:r>
        <w:t xml:space="preserve">8. Cross-References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Book VI-03</w:t>
      </w:r>
      <w:r>
        <w:t xml:space="preserve"> </w:t>
      </w:r>
      <w:r>
        <w:t xml:space="preserve">— the detections these playbooks respond to.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Vol I Book 03</w:t>
      </w:r>
      <w:r>
        <w:t xml:space="preserve"> </w:t>
      </w:r>
      <w:r>
        <w:t xml:space="preserve">— the token-lifetime standing control (short-lived tokens, refresh-token policy gate).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Volume III — SIEM/XDR</w:t>
      </w:r>
      <w:r>
        <w:t xml:space="preserve"> </w:t>
      </w:r>
      <w:r>
        <w:t xml:space="preserve">— the incident-workflow architecture.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Book VI-07</w:t>
      </w:r>
      <w:r>
        <w:t xml:space="preserve"> </w:t>
      </w:r>
      <w:r>
        <w:t xml:space="preserve">— response actions emit to the evidence contract.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Vol III Book 06</w:t>
      </w:r>
      <w:r>
        <w:t xml:space="preserve"> </w:t>
      </w:r>
      <w:r>
        <w:t xml:space="preserve">— false-positive measurement that gates auto-action.</w:t>
      </w:r>
    </w:p>
    <w:bookmarkEnd w:id="19"/>
    <w:bookmarkStart w:id="20" w:name="provenance"/>
    <w:p>
      <w:pPr>
        <w:pStyle w:val="Heading1"/>
      </w:pPr>
      <w:r>
        <w:t xml:space="preserve">9. Provenance</w:t>
      </w:r>
    </w:p>
    <w:p>
      <w:pPr>
        <w:pStyle w:val="FirstParagraph"/>
      </w:pPr>
      <w:r>
        <w:t xml:space="preserve">Draft. Containment latency is honestly minutes, not sub-second. The playbook pseudocode is an illustrative flow to adapt, not a deployable runbook. Products are deployed examples of the SOAR-containment mechanism, which is portable across automation engines.</w:t>
      </w:r>
    </w:p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 VI Book 04 — Federal Compliance — Response Automation: The SOAR Playbook Library</dc:title>
  <dc:creator>Federal Cloud Services</dc:creator>
  <cp:keywords/>
  <dcterms:created xsi:type="dcterms:W3CDTF">2026-10-19T10:10:23Z</dcterms:created>
  <dcterms:modified xsi:type="dcterms:W3CDTF">2026-10-19T10:10:23Z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y-author">
    <vt:lpwstr/>
  </property>
  <property fmtid="{D5CDD505-2E9C-101B-9397-08002B2CF9AE}" pid="7" name="date">
    <vt:lpwstr>2026-07-09 19:13 ET</vt:lpwstr>
  </property>
  <property fmtid="{D5CDD505-2E9C-101B-9397-08002B2CF9AE}" pid="8" name="date-format">
    <vt:lpwstr>YYYY-MM-DD HH:mm [ET]</vt:lpwstr>
  </property>
  <property fmtid="{D5CDD505-2E9C-101B-9397-08002B2CF9AE}" pid="9" name="execute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out-width">
    <vt:lpwstr>100%</vt:lpwstr>
  </property>
  <property fmtid="{D5CDD505-2E9C-101B-9397-08002B2CF9AE}" pid="15" name="subtitle">
    <vt:lpwstr>Automated containment and enrichment playbooks that convert a detection into a bounded response</vt:lpwstr>
  </property>
  <property fmtid="{D5CDD505-2E9C-101B-9397-08002B2CF9AE}" pid="16" name="toc-title">
    <vt:lpwstr>Table of contents</vt:lpwstr>
  </property>
</Properties>
</file>