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Vol VI Book 05 — Federal Compliance — Data Protection Deployment</w:t>
      </w:r>
    </w:p>
    <w:p>
      <w:pPr>
        <w:pStyle w:val="Subtitle"/>
      </w:pPr>
      <w:r>
        <w:t xml:space="preserve">Sensitivity-label taxonomy, DLP policy packs, and agency-controlled key management as code</w:t>
      </w:r>
    </w:p>
    <w:p>
      <w:pPr>
        <w:pStyle w:val="Author"/>
      </w:pPr>
      <w:r>
        <w:t xml:space="preserve">Federal Cloud Services</w:t>
      </w:r>
    </w:p>
    <w:p>
      <w:pPr>
        <w:pStyle w:val="Date"/>
      </w:pPr>
      <w:r>
        <w:t xml:space="preserve">2026-07-09 19:13 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9" w:name="draft-proposal-subject-to-review"/>
    <w:p>
      <w:pPr>
        <w:pStyle w:val="Heading2"/>
      </w:pPr>
      <w:r>
        <w:t xml:space="preserve">0.1 Draft Proposal — Subject to Review</w:t>
      </w:r>
    </w:p>
    <w:p>
      <w:pPr>
        <w:pStyle w:val="FirstParagraph"/>
      </w:pPr>
      <w:r>
        <w:t xml:space="preserve">Developed by the</w:t>
      </w:r>
      <w:r>
        <w:t xml:space="preserve"> </w:t>
      </w:r>
      <w:r>
        <w:rPr>
          <w:b/>
          <w:bCs/>
        </w:rPr>
        <w:t xml:space="preserve">CSI Team (Cloud Services Infrastructure)</w:t>
      </w:r>
      <w:r>
        <w:t xml:space="preserve">; not yet reviewed or approved by the Agency CIO Office, OIS, or leadership.</w:t>
      </w:r>
      <w:r>
        <w:t xml:space="preserve"> </w:t>
      </w:r>
      <w:r>
        <w:rPr>
          <w:b/>
          <w:bCs/>
        </w:rPr>
        <w:t xml:space="preserve">Date Code:</w:t>
      </w:r>
      <w:r>
        <w:t xml:space="preserve"> </w:t>
      </w:r>
      <w:r>
        <w:t xml:space="preserve">2026-07-09 15:13 ET</w:t>
      </w:r>
    </w:p>
    <w:bookmarkEnd w:id="9"/>
    <w:p>
      <w:pPr>
        <w:pStyle w:val="BodyText"/>
      </w:pPr>
      <w:r>
        <w:rPr>
          <w:b/>
          <w:bCs/>
        </w:rPr>
        <w:t xml:space="preserve">Series Context</w:t>
      </w:r>
      <w:r>
        <w:t xml:space="preserve"> </w:t>
      </w:r>
      <w:r>
        <w:t xml:space="preserve">— Volume VI Book 05. Deployable realization of</w:t>
      </w:r>
      <w:r>
        <w:t xml:space="preserve"> </w:t>
      </w:r>
      <w:r>
        <w:rPr>
          <w:b/>
          <w:bCs/>
        </w:rPr>
        <w:t xml:space="preserve">Volume III (Data Protection)</w:t>
      </w:r>
      <w:r>
        <w:t xml:space="preserve">: the federal CUI sensitivity-label taxonomy, DLP policy packs, and agency-controlled cryptographic key management, expressed as code and applied through the Book VI-00 pipeline.</w:t>
      </w:r>
    </w:p>
    <w:bookmarkStart w:id="10" w:name="what-this-document-addresses"/>
    <w:p>
      <w:pPr>
        <w:pStyle w:val="Heading1"/>
      </w:pPr>
      <w:r>
        <w:t xml:space="preserve">1. What This Document Addresses</w:t>
      </w:r>
    </w:p>
    <w:p>
      <w:pPr>
        <w:pStyle w:val="FirstParagraph"/>
      </w:pPr>
      <w:r>
        <w:t xml:space="preserve">Volume III establishes that the payload — not the pipe — is the unprotected surface: a network boundary can see a file move but cannot tell whether it is a press release or a Privacy Act record, so it cannot enforce</w:t>
      </w:r>
      <w:r>
        <w:t xml:space="preserve"> </w:t>
      </w:r>
      <w:r>
        <w:t xml:space="preserve">“block external sharing of CUI.”</w:t>
      </w:r>
      <w:r>
        <w:t xml:space="preserve"> </w:t>
      </w:r>
      <w:r>
        <w:t xml:space="preserve">Classification, movement restriction, and agency-controlled encryption are the closing mechanisms.</w:t>
      </w:r>
    </w:p>
    <w:p>
      <w:pPr>
        <w:pStyle w:val="BodyText"/>
      </w:pPr>
      <w:r>
        <w:t xml:space="preserve">This book deploys them as code: the CUI label taxonomy, DLP policies as versioned packs, and key management (customer-managed keys, rotation, revocation) as infrastructure. Deploying the taxonomy as code is what makes the classification</w:t>
      </w:r>
      <w:r>
        <w:t xml:space="preserve"> </w:t>
      </w:r>
      <w:r>
        <w:rPr>
          <w:i/>
          <w:iCs/>
        </w:rPr>
        <w:t xml:space="preserve">travel with the payload</w:t>
      </w:r>
      <w:r>
        <w:t xml:space="preserve"> </w:t>
      </w:r>
      <w:r>
        <w:t xml:space="preserve">and the enforcement</w:t>
      </w:r>
      <w:r>
        <w:t xml:space="preserve"> </w:t>
      </w:r>
      <w:r>
        <w:rPr>
          <w:i/>
          <w:iCs/>
        </w:rPr>
        <w:t xml:space="preserve">reproducible</w:t>
      </w:r>
      <w:r>
        <w:t xml:space="preserve"> </w:t>
      </w:r>
      <w:r>
        <w:t xml:space="preserve">— the label is the machine-readable signal every downstream control (DLP, the CASB, the Book VI-03 detections) acts on.</w:t>
      </w:r>
    </w:p>
    <w:bookmarkEnd w:id="10"/>
    <w:bookmarkStart w:id="12" w:name="the-federal-cui-taxonomy-as-code"/>
    <w:p>
      <w:pPr>
        <w:pStyle w:val="Heading1"/>
      </w:pPr>
      <w:r>
        <w:t xml:space="preserve">2. The Federal CUI Taxonomy as Code</w:t>
      </w:r>
    </w:p>
    <w:p>
      <w:pPr>
        <w:pStyle w:val="FirstParagraph"/>
      </w:pPr>
      <w:r>
        <w:t xml:space="preserve">The taxonomy is a declared hierarchy, not a set of portal-created labels, so that the protection settings at each tier are reviewable and consistent across the estate.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Tier</w:t>
            </w:r>
          </w:p>
        </w:tc>
        <w:tc>
          <w:tcPr/>
          <w:p>
            <w:pPr>
              <w:pStyle w:val="Compact"/>
            </w:pPr>
            <w:r>
              <w:t xml:space="preserve">Label</w:t>
            </w:r>
          </w:p>
        </w:tc>
        <w:tc>
          <w:tcPr/>
          <w:p>
            <w:pPr>
              <w:pStyle w:val="Compact"/>
            </w:pPr>
            <w:r>
              <w:t xml:space="preserve">Encryption</w:t>
            </w:r>
          </w:p>
        </w:tc>
        <w:tc>
          <w:tcPr/>
          <w:p>
            <w:pPr>
              <w:pStyle w:val="Compact"/>
            </w:pPr>
            <w:r>
              <w:t xml:space="preserve">Access scope</w:t>
            </w:r>
          </w:p>
        </w:tc>
        <w:tc>
          <w:tcPr/>
          <w:p>
            <w:pPr>
              <w:pStyle w:val="Compact"/>
            </w:pPr>
            <w:r>
              <w:t xml:space="preserve">Audit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Public</w:t>
            </w:r>
          </w:p>
        </w:tc>
        <w:tc>
          <w:tcPr/>
          <w:p>
            <w:pPr>
              <w:pStyle w:val="Compact"/>
            </w:pPr>
            <w:r>
              <w:t xml:space="preserve">none /</w:t>
            </w:r>
            <w:r>
              <w:t xml:space="preserve"> </w:t>
            </w:r>
            <w:r>
              <w:t xml:space="preserve">“Public”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unrestricted</w:t>
            </w:r>
          </w:p>
        </w:tc>
        <w:tc>
          <w:tcPr/>
          <w:p>
            <w:pPr>
              <w:pStyle w:val="Compact"/>
            </w:pPr>
            <w:r>
              <w:t xml:space="preserve">standard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Internal</w:t>
            </w:r>
          </w:p>
        </w:tc>
        <w:tc>
          <w:tcPr/>
          <w:p>
            <w:pPr>
              <w:pStyle w:val="Compact"/>
            </w:pPr>
            <w:r>
              <w:t xml:space="preserve">“Internal”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agency domain (informational)</w:t>
            </w:r>
          </w:p>
        </w:tc>
        <w:tc>
          <w:tcPr/>
          <w:p>
            <w:pPr>
              <w:pStyle w:val="Compact"/>
            </w:pPr>
            <w:r>
              <w:t xml:space="preserve">standard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CUI-Basic</w:t>
            </w:r>
          </w:p>
        </w:tc>
        <w:tc>
          <w:tcPr/>
          <w:p>
            <w:pPr>
              <w:pStyle w:val="Compact"/>
            </w:pPr>
            <w:r>
              <w:t xml:space="preserve">“CUI-Basic”</w:t>
            </w:r>
          </w:p>
        </w:tc>
        <w:tc>
          <w:tcPr/>
          <w:p>
            <w:pPr>
              <w:pStyle w:val="Compact"/>
            </w:pPr>
            <w:r>
              <w:t xml:space="preserve">yes — BYOK</w:t>
            </w:r>
          </w:p>
        </w:tc>
        <w:tc>
          <w:tcPr/>
          <w:p>
            <w:pPr>
              <w:pStyle w:val="Compact"/>
            </w:pPr>
            <w:r>
              <w:t xml:space="preserve">agency domain (enforced)</w:t>
            </w:r>
          </w:p>
        </w:tc>
        <w:tc>
          <w:tcPr/>
          <w:p>
            <w:pPr>
              <w:pStyle w:val="Compact"/>
            </w:pPr>
            <w:r>
              <w:t xml:space="preserve">standard + label events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CUI-Specified</w:t>
            </w:r>
          </w:p>
        </w:tc>
        <w:tc>
          <w:tcPr/>
          <w:p>
            <w:pPr>
              <w:pStyle w:val="Compact"/>
            </w:pPr>
            <w:r>
              <w:t xml:space="preserve">“CUI-Specified — [Category]”</w:t>
            </w:r>
          </w:p>
        </w:tc>
        <w:tc>
          <w:tcPr/>
          <w:p>
            <w:pPr>
              <w:pStyle w:val="Compact"/>
            </w:pPr>
            <w:r>
              <w:t xml:space="preserve">yes — BYOK</w:t>
            </w:r>
          </w:p>
        </w:tc>
        <w:tc>
          <w:tcPr/>
          <w:p>
            <w:pPr>
              <w:pStyle w:val="Compact"/>
            </w:pPr>
            <w:r>
              <w:t xml:space="preserve">named holders, time-limited</w:t>
            </w:r>
          </w:p>
        </w:tc>
        <w:tc>
          <w:tcPr/>
          <w:p>
            <w:pPr>
              <w:pStyle w:val="Compact"/>
            </w:pPr>
            <w:r>
              <w:t xml:space="preserve">premium</w:t>
            </w:r>
          </w:p>
        </w:tc>
      </w:tr>
    </w:tbl>
    <w:bookmarkStart w:id="11" w:name="Xef769dc4ecc5114996ddb81d779ee7eba7c522b"/>
    <w:p>
      <w:pPr>
        <w:pStyle w:val="Heading2"/>
      </w:pPr>
      <w:r>
        <w:t xml:space="preserve">2.1 Illustrative artifact — label taxonomy and BYOK protection as code</w:t>
      </w:r>
    </w:p>
    <w:p>
      <w:pPr>
        <w:pStyle w:val="SourceCode"/>
      </w:pPr>
      <w:r>
        <w:rPr>
          <w:rStyle w:val="CommentTok"/>
        </w:rPr>
        <w:t xml:space="preserve"># Sensitivity label taxonomy (deployed example: Purview, applied via PowerShell) — AC-4 / SC-28</w:t>
      </w:r>
      <w:r>
        <w:br/>
      </w:r>
      <w:r>
        <w:rPr>
          <w:rStyle w:val="NormalTok"/>
        </w:rPr>
        <w:t xml:space="preserve">New-Label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Name </w:t>
      </w:r>
      <w:r>
        <w:rPr>
          <w:rStyle w:val="StringTok"/>
        </w:rPr>
        <w:t xml:space="preserve">"CUI-Basic"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DisplayName </w:t>
      </w:r>
      <w:r>
        <w:rPr>
          <w:rStyle w:val="StringTok"/>
        </w:rPr>
        <w:t xml:space="preserve">"CUI-Basic"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EncryptionEnabled </w:t>
      </w:r>
      <w:r>
        <w:rPr>
          <w:rStyle w:val="VariableTok"/>
        </w:rPr>
        <w:t xml:space="preserve">$true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EncryptionProtectionType </w:t>
      </w:r>
      <w:r>
        <w:rPr>
          <w:rStyle w:val="StringTok"/>
        </w:rPr>
        <w:t xml:space="preserve">"Template"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EncryptionRightsDefinitions </w:t>
      </w:r>
      <w:r>
        <w:rPr>
          <w:rStyle w:val="VariableTok"/>
        </w:rPr>
        <w:t xml:space="preserve">$agencyDomainRights</w:t>
      </w:r>
      <w:r>
        <w:rPr>
          <w:rStyle w:val="NormalTok"/>
        </w:rPr>
        <w:t xml:space="preserve"> </w:t>
      </w:r>
      <w:r>
        <w:rPr>
          <w:rStyle w:val="CharTok"/>
        </w:rPr>
        <w:t xml:space="preserve">` 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# access scope = agency domain (enforced)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ContentType </w:t>
      </w:r>
      <w:r>
        <w:rPr>
          <w:rStyle w:val="StringTok"/>
        </w:rPr>
        <w:t xml:space="preserve">"File, Email, Site, UnifiedGroup"</w:t>
      </w:r>
      <w:r>
        <w:br/>
      </w:r>
      <w:r>
        <w:rPr>
          <w:rStyle w:val="NormalTok"/>
        </w:rPr>
        <w:t xml:space="preserve">New-Label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Name </w:t>
      </w:r>
      <w:r>
        <w:rPr>
          <w:rStyle w:val="StringTok"/>
        </w:rPr>
        <w:t xml:space="preserve">"CUI-Specified-PrivacyAct"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DisplayName </w:t>
      </w:r>
      <w:r>
        <w:rPr>
          <w:rStyle w:val="StringTok"/>
        </w:rPr>
        <w:t xml:space="preserve">"CUI-Specified — Privacy Act"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ParentId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Get-Label </w:t>
      </w:r>
      <w:r>
        <w:rPr>
          <w:rStyle w:val="StringTok"/>
        </w:rPr>
        <w:t xml:space="preserve">"CUI-Specified"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Guid</w:t>
      </w:r>
      <w:r>
        <w:rPr>
          <w:rStyle w:val="NormalTok"/>
        </w:rPr>
        <w:t xml:space="preserve"> </w:t>
      </w:r>
      <w:r>
        <w:rPr>
          <w:rStyle w:val="CharTok"/>
        </w:rPr>
        <w:t xml:space="preserve">` 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# child of the Specified parent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EncryptionEnabled </w:t>
      </w:r>
      <w:r>
        <w:rPr>
          <w:rStyle w:val="VariableTok"/>
        </w:rPr>
        <w:t xml:space="preserve">$true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EncryptionContentExpiredOnDateInDaysOrNever </w:t>
      </w:r>
      <w:r>
        <w:rPr>
          <w:rStyle w:val="StringTok"/>
        </w:rPr>
        <w:t xml:space="preserve">"90"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time-limited holders</w:t>
      </w:r>
      <w:r>
        <w:br/>
      </w:r>
      <w:r>
        <w:rPr>
          <w:rStyle w:val="CommentTok"/>
        </w:rPr>
        <w:t xml:space="preserve"># Keys are agency-held (BYOK): rotation and revocation live in the key-vault module below.</w:t>
      </w:r>
    </w:p>
    <w:p>
      <w:pPr>
        <w:pStyle w:val="FirstParagraph"/>
      </w:pPr>
      <w:r>
        <w:t xml:space="preserve">The key material is the other half: sensitivity-label encryption for the CUI tiers binds to</w:t>
      </w:r>
      <w:r>
        <w:t xml:space="preserve"> </w:t>
      </w:r>
      <w:r>
        <w:rPr>
          <w:b/>
          <w:bCs/>
        </w:rPr>
        <w:t xml:space="preserve">agency-held keys</w:t>
      </w:r>
      <w:r>
        <w:t xml:space="preserve">, so the agency can rotate or revoke them — for instance after an administrator with access departs. The key vault, its customer-managed keys, rotation policy, and access policy are declared as infrastructure (SC-12/12(1)), giving the audit trail SC-28 and AU-10 expect.</w:t>
      </w:r>
    </w:p>
    <w:bookmarkEnd w:id="11"/>
    <w:bookmarkEnd w:id="12"/>
    <w:bookmarkStart w:id="13" w:name="deployable-artifacts"/>
    <w:p>
      <w:pPr>
        <w:pStyle w:val="Heading1"/>
      </w:pPr>
      <w:r>
        <w:t xml:space="preserve">3. Deployable Artifacts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Artifact</w:t>
            </w:r>
          </w:p>
        </w:tc>
        <w:tc>
          <w:tcPr/>
          <w:p>
            <w:pPr>
              <w:pStyle w:val="Compact"/>
            </w:pPr>
            <w:r>
              <w:t xml:space="preserve">Realizes (Vol III)</w:t>
            </w:r>
          </w:p>
        </w:tc>
        <w:tc>
          <w:tcPr/>
          <w:p>
            <w:pPr>
              <w:pStyle w:val="Compact"/>
            </w:pPr>
            <w:r>
              <w:t xml:space="preserve">Deployed example</w:t>
            </w:r>
          </w:p>
        </w:tc>
        <w:tc>
          <w:tcPr/>
          <w:p>
            <w:pPr>
              <w:pStyle w:val="Compact"/>
            </w:pPr>
            <w:r>
              <w:t xml:space="preserve">Multi-CSP substitution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Sensitivity-label taxonomy (CUI tiers, parent/child, protection settings)</w:t>
            </w:r>
          </w:p>
        </w:tc>
        <w:tc>
          <w:tcPr/>
          <w:p>
            <w:pPr>
              <w:pStyle w:val="Compact"/>
            </w:pPr>
            <w:r>
              <w:t xml:space="preserve">Information classification &amp; marking</w:t>
            </w:r>
          </w:p>
        </w:tc>
        <w:tc>
          <w:tcPr/>
          <w:p>
            <w:pPr>
              <w:pStyle w:val="Compact"/>
            </w:pPr>
            <w:r>
              <w:t xml:space="preserve">Purview labels via PowerShell/Graph as code</w:t>
            </w:r>
          </w:p>
        </w:tc>
        <w:tc>
          <w:tcPr/>
          <w:p>
            <w:pPr>
              <w:pStyle w:val="Compact"/>
            </w:pPr>
            <w:r>
              <w:t xml:space="preserve">AWS Macie classifications; data-tagging policy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DLP policy packs (service/endpoint/network)</w:t>
            </w:r>
          </w:p>
        </w:tc>
        <w:tc>
          <w:tcPr/>
          <w:p>
            <w:pPr>
              <w:pStyle w:val="Compact"/>
            </w:pPr>
            <w:r>
              <w:t xml:space="preserve">AC-4 movement restriction</w:t>
            </w:r>
          </w:p>
        </w:tc>
        <w:tc>
          <w:tcPr/>
          <w:p>
            <w:pPr>
              <w:pStyle w:val="Compact"/>
            </w:pPr>
            <w:r>
              <w:t xml:space="preserve">Purview DLP as code</w:t>
            </w:r>
          </w:p>
        </w:tc>
        <w:tc>
          <w:tcPr/>
          <w:p>
            <w:pPr>
              <w:pStyle w:val="Compact"/>
            </w:pPr>
            <w:r>
              <w:t xml:space="preserve">Symantec/Forcepoint DLP policy-as-code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 management (CMK/BYOK, rotation, access policy)</w:t>
            </w:r>
          </w:p>
        </w:tc>
        <w:tc>
          <w:tcPr/>
          <w:p>
            <w:pPr>
              <w:pStyle w:val="Compact"/>
            </w:pPr>
            <w:r>
              <w:t xml:space="preserve">SC-12/12(1), SC-28</w:t>
            </w:r>
          </w:p>
        </w:tc>
        <w:tc>
          <w:tcPr/>
          <w:p>
            <w:pPr>
              <w:pStyle w:val="Compact"/>
            </w:pPr>
            <w:r>
              <w:t xml:space="preserve">Key Vault + CMK Terraform</w:t>
            </w:r>
          </w:p>
        </w:tc>
        <w:tc>
          <w:tcPr/>
          <w:p>
            <w:pPr>
              <w:pStyle w:val="Compact"/>
            </w:pPr>
            <w:r>
              <w:t xml:space="preserve">AWS KMS + CloudHSM as code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Audit-retention configuration</w:t>
            </w:r>
          </w:p>
        </w:tc>
        <w:tc>
          <w:tcPr/>
          <w:p>
            <w:pPr>
              <w:pStyle w:val="Compact"/>
            </w:pPr>
            <w:r>
              <w:t xml:space="preserve">AU-10 non-repudiation (agency-elected, above the Moderate baseline), retention</w:t>
            </w:r>
          </w:p>
        </w:tc>
        <w:tc>
          <w:tcPr/>
          <w:p>
            <w:pPr>
              <w:pStyle w:val="Compact"/>
            </w:pPr>
            <w:r>
              <w:t xml:space="preserve">Purview Audit tier + export as code</w:t>
            </w:r>
          </w:p>
        </w:tc>
        <w:tc>
          <w:tcPr/>
          <w:p>
            <w:pPr>
              <w:pStyle w:val="Compact"/>
            </w:pPr>
            <w:r>
              <w:t xml:space="preserve">CloudTrail Lake retention config</w:t>
            </w:r>
          </w:p>
        </w:tc>
      </w:tr>
    </w:tbl>
    <w:bookmarkEnd w:id="13"/>
    <w:bookmarkStart w:id="14" w:name="deployment"/>
    <w:p>
      <w:pPr>
        <w:pStyle w:val="Heading1"/>
      </w:pPr>
      <w:r>
        <w:t xml:space="preserve">4. Deployment</w:t>
      </w:r>
    </w:p>
    <w:p>
      <w:pPr>
        <w:pStyle w:val="Compact"/>
        <w:numPr>
          <w:ilvl w:val="0"/>
          <w:numId w:val="1001"/>
        </w:numPr>
      </w:pPr>
      <w:r>
        <w:t xml:space="preserve">Deploy the key vault and customer-managed keys first (the labels’ encryption depends on them); set the rotation policy and restrict key access to a minimal, audited set.</w:t>
      </w:r>
    </w:p>
    <w:p>
      <w:pPr>
        <w:pStyle w:val="Compact"/>
        <w:numPr>
          <w:ilvl w:val="0"/>
          <w:numId w:val="1001"/>
        </w:numPr>
      </w:pPr>
      <w:r>
        <w:t xml:space="preserve">Apply the label taxonomy as code, then the label auto-labeling / publishing policy scoped to the pilot before tenant-wide.</w:t>
      </w:r>
    </w:p>
    <w:p>
      <w:pPr>
        <w:pStyle w:val="Compact"/>
        <w:numPr>
          <w:ilvl w:val="0"/>
          <w:numId w:val="1001"/>
        </w:numPr>
      </w:pPr>
      <w:r>
        <w:t xml:space="preserve">Apply DLP policy packs in</w:t>
      </w:r>
      <w:r>
        <w:t xml:space="preserve"> </w:t>
      </w:r>
      <w:r>
        <w:rPr>
          <w:b/>
          <w:bCs/>
        </w:rPr>
        <w:t xml:space="preserve">test/notify</w:t>
      </w:r>
      <w:r>
        <w:t xml:space="preserve"> </w:t>
      </w:r>
      <w:r>
        <w:t xml:space="preserve">mode, measure false positives, then enforce — the Book VI-03 DLP-override detection (rule 06) watches for abuse of the override path once enforcing.</w:t>
      </w:r>
    </w:p>
    <w:p>
      <w:pPr>
        <w:pStyle w:val="Compact"/>
        <w:numPr>
          <w:ilvl w:val="0"/>
          <w:numId w:val="1001"/>
        </w:numPr>
      </w:pPr>
      <w:r>
        <w:t xml:space="preserve">Set the audit tier and export so retention meets the OMB M-26-14 event-logging maturity level and the Volume III audit-retention rationale (this is also the fix for the retention cliff, the point at which standard audit retention lapses, that the detection layer depends on for long-tail forensics).</w:t>
      </w:r>
    </w:p>
    <w:bookmarkEnd w:id="14"/>
    <w:bookmarkStart w:id="16" w:name="closure-necessity"/>
    <w:p>
      <w:pPr>
        <w:pStyle w:val="Heading1"/>
      </w:pPr>
      <w:r>
        <w:t xml:space="preserve">5. Closure Necessity</w:t>
      </w:r>
    </w:p>
    <w:bookmarkStart w:id="15" w:name="X9907d23bcdcf867b14b45c8d71109b87e796fe8"/>
    <w:p>
      <w:pPr>
        <w:pStyle w:val="Heading2"/>
      </w:pPr>
      <w:r>
        <w:t xml:space="preserve">5.1 Closure Necessity — a label the pipe can read is what makes payload control possible</w:t>
      </w:r>
    </w:p>
    <w:p>
      <w:pPr>
        <w:pStyle w:val="FirstParagraph"/>
      </w:pPr>
      <w:r>
        <w:t xml:space="preserve">Volume III shows a network boundary cannot enforce</w:t>
      </w:r>
      <w:r>
        <w:t xml:space="preserve"> </w:t>
      </w:r>
      <w:r>
        <w:t xml:space="preserve">“block external sharing of CUI”</w:t>
      </w:r>
      <w:r>
        <w:t xml:space="preserve"> </w:t>
      </w:r>
      <w:r>
        <w:t xml:space="preserve">because it cannot read the payload. This book deploys the label that carries the classification</w:t>
      </w:r>
      <w:r>
        <w:t xml:space="preserve"> </w:t>
      </w:r>
      <w:r>
        <w:rPr>
          <w:i/>
          <w:iCs/>
        </w:rPr>
        <w:t xml:space="preserve">with</w:t>
      </w:r>
      <w:r>
        <w:t xml:space="preserve"> </w:t>
      </w:r>
      <w:r>
        <w:t xml:space="preserve">the file, and the keys the agency alone can rotate — the deployed form of the payload-protection mechanism. Without a machine-readable label taxonomy and agency-held keys, AC-4 and SC-12 are policy statements no control enforces, and the CASB has no payload signal to act on.</w:t>
      </w:r>
    </w:p>
    <w:bookmarkEnd w:id="15"/>
    <w:bookmarkEnd w:id="16"/>
    <w:bookmarkStart w:id="17" w:name="controls-operationalized"/>
    <w:p>
      <w:pPr>
        <w:pStyle w:val="Heading1"/>
      </w:pPr>
      <w:r>
        <w:t xml:space="preserve">6. Controls Operationalized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How this book deploys 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AC-4</w:t>
            </w:r>
          </w:p>
        </w:tc>
        <w:tc>
          <w:tcPr/>
          <w:p>
            <w:pPr>
              <w:pStyle w:val="Compact"/>
            </w:pPr>
            <w:r>
              <w:t xml:space="preserve">Information Flow Enforcement</w:t>
            </w:r>
          </w:p>
        </w:tc>
        <w:tc>
          <w:tcPr/>
          <w:p>
            <w:pPr>
              <w:pStyle w:val="Compact"/>
            </w:pPr>
            <w:r>
              <w:t xml:space="preserve">Label-derived DLP movement restriction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SC-12/12(1)</w:t>
            </w:r>
          </w:p>
        </w:tc>
        <w:tc>
          <w:tcPr/>
          <w:p>
            <w:pPr>
              <w:pStyle w:val="Compact"/>
            </w:pPr>
            <w:r>
              <w:t xml:space="preserve">Cryptographic Key Establishment &amp; Management</w:t>
            </w:r>
          </w:p>
        </w:tc>
        <w:tc>
          <w:tcPr/>
          <w:p>
            <w:pPr>
              <w:pStyle w:val="Compact"/>
            </w:pPr>
            <w:r>
              <w:t xml:space="preserve">CMK/BYOK, rotation, revocation as code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SC-28</w:t>
            </w:r>
          </w:p>
        </w:tc>
        <w:tc>
          <w:tcPr/>
          <w:p>
            <w:pPr>
              <w:pStyle w:val="Compact"/>
            </w:pPr>
            <w:r>
              <w:t xml:space="preserve">Protection of Information at Rest</w:t>
            </w:r>
          </w:p>
        </w:tc>
        <w:tc>
          <w:tcPr/>
          <w:p>
            <w:pPr>
              <w:pStyle w:val="Compact"/>
            </w:pPr>
            <w:r>
              <w:t xml:space="preserve">CMK-backed encryption of classified stores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AU-10</w:t>
            </w:r>
          </w:p>
        </w:tc>
        <w:tc>
          <w:tcPr/>
          <w:p>
            <w:pPr>
              <w:pStyle w:val="Compact"/>
            </w:pPr>
            <w:r>
              <w:t xml:space="preserve">Non-repudiation (agency-elected, above the Moderate baseline)</w:t>
            </w:r>
          </w:p>
        </w:tc>
        <w:tc>
          <w:tcPr/>
          <w:p>
            <w:pPr>
              <w:pStyle w:val="Compact"/>
            </w:pPr>
            <w:r>
              <w:t xml:space="preserve">Premium audit tier + immutable export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MP-3</w:t>
            </w:r>
          </w:p>
        </w:tc>
        <w:tc>
          <w:tcPr/>
          <w:p>
            <w:pPr>
              <w:pStyle w:val="Compact"/>
            </w:pPr>
            <w:r>
              <w:t xml:space="preserve">Media Marking</w:t>
            </w:r>
          </w:p>
        </w:tc>
        <w:tc>
          <w:tcPr/>
          <w:p>
            <w:pPr>
              <w:pStyle w:val="Compact"/>
            </w:pPr>
            <w:r>
              <w:t xml:space="preserve">Label-driven electronic marking of CUI; physical-media controls (MP-2/4/5) out of scope</w:t>
            </w:r>
          </w:p>
        </w:tc>
      </w:tr>
    </w:tbl>
    <w:bookmarkEnd w:id="17"/>
    <w:bookmarkStart w:id="18" w:name="honest-limits"/>
    <w:p>
      <w:pPr>
        <w:pStyle w:val="Heading1"/>
      </w:pPr>
      <w:r>
        <w:t xml:space="preserve">7. Honest Limits</w:t>
      </w:r>
    </w:p>
    <w:p>
      <w:pPr>
        <w:pStyle w:val="Compact"/>
        <w:numPr>
          <w:ilvl w:val="0"/>
          <w:numId w:val="1002"/>
        </w:numPr>
      </w:pPr>
      <w:r>
        <w:t xml:space="preserve">Auto-labeling accuracy is bounded by the classifier; manual-label discipline and the Book VI-03 mass-label-removal detection are the compensations for mislabeled or stripped content.</w:t>
      </w:r>
    </w:p>
    <w:p>
      <w:pPr>
        <w:pStyle w:val="Compact"/>
        <w:numPr>
          <w:ilvl w:val="0"/>
          <w:numId w:val="1002"/>
        </w:numPr>
      </w:pPr>
      <w:r>
        <w:t xml:space="preserve">Agency-held keys shift the operational burden of key custody to the agency — rotation and recovery become the agency’s responsibility, not the platform’s.</w:t>
      </w:r>
    </w:p>
    <w:p>
      <w:pPr>
        <w:pStyle w:val="Compact"/>
        <w:numPr>
          <w:ilvl w:val="0"/>
          <w:numId w:val="1002"/>
        </w:numPr>
      </w:pPr>
      <w:r>
        <w:t xml:space="preserve">DLP pattern packs restrict movement of</w:t>
      </w:r>
      <w:r>
        <w:t xml:space="preserve"> </w:t>
      </w:r>
      <w:r>
        <w:rPr>
          <w:i/>
          <w:iCs/>
        </w:rPr>
        <w:t xml:space="preserve">matched</w:t>
      </w:r>
      <w:r>
        <w:t xml:space="preserve"> </w:t>
      </w:r>
      <w:r>
        <w:t xml:space="preserve">content; they do not reconstruct a content-fingerprint behavioral model (see Book VI-03 rule 06 residual).</w:t>
      </w:r>
    </w:p>
    <w:bookmarkEnd w:id="18"/>
    <w:bookmarkStart w:id="19" w:name="cross-references"/>
    <w:p>
      <w:pPr>
        <w:pStyle w:val="Heading1"/>
      </w:pPr>
      <w:r>
        <w:t xml:space="preserve">8. Cross-References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Volume III — Data Protection (Purview)</w:t>
      </w:r>
      <w:r>
        <w:t xml:space="preserve"> </w:t>
      </w:r>
      <w:r>
        <w:t xml:space="preserve">— the architecture this book deploys.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Book VI-03</w:t>
      </w:r>
      <w:r>
        <w:t xml:space="preserve"> </w:t>
      </w:r>
      <w:r>
        <w:t xml:space="preserve">— the label/DLP detections that watch this deployment for abuse.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Book VI-01</w:t>
      </w:r>
      <w:r>
        <w:t xml:space="preserve"> </w:t>
      </w:r>
      <w:r>
        <w:t xml:space="preserve">— the landing zone and authorized boundary the key vault is deployed inside.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Book VI-07</w:t>
      </w:r>
      <w:r>
        <w:t xml:space="preserve"> </w:t>
      </w:r>
      <w:r>
        <w:t xml:space="preserve">— label and key events emit to the evidence contract.</w:t>
      </w:r>
    </w:p>
    <w:bookmarkEnd w:id="19"/>
    <w:bookmarkStart w:id="20" w:name="provenance"/>
    <w:p>
      <w:pPr>
        <w:pStyle w:val="Heading1"/>
      </w:pPr>
      <w:r>
        <w:t xml:space="preserve">9. Provenance</w:t>
      </w:r>
    </w:p>
    <w:p>
      <w:pPr>
        <w:pStyle w:val="FirstParagraph"/>
      </w:pPr>
      <w:r>
        <w:t xml:space="preserve">Draft. Products are deployed examples; substitution columns preserve the mechanism. The PowerShell is an illustrative pattern to adapt, not a drop-in script — validate against current cmdlet schemas and the agency’s CUI category set. Vendor capability claims name deployed examples and substitution candidates; their Microsoft Learn and AWS documentation sources are carried in the briefing deck spec (Vol_VI_Book_05.yaml), not inline here.</w:t>
      </w:r>
    </w:p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 VI Book 05 — Federal Compliance — Data Protection Deployment</dc:title>
  <dc:creator>Federal Cloud Services</dc:creator>
  <cp:keywords/>
  <dcterms:created xsi:type="dcterms:W3CDTF">2026-10-19T10:10:24Z</dcterms:created>
  <dcterms:modified xsi:type="dcterms:W3CDTF">2026-10-19T10:10:24Z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aliases">
    <vt:lpwstr/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y-author">
    <vt:lpwstr/>
  </property>
  <property fmtid="{D5CDD505-2E9C-101B-9397-08002B2CF9AE}" pid="7" name="date">
    <vt:lpwstr>2026-07-09 19:13 ET</vt:lpwstr>
  </property>
  <property fmtid="{D5CDD505-2E9C-101B-9397-08002B2CF9AE}" pid="8" name="date-format">
    <vt:lpwstr>YYYY-MM-DD HH:mm [ET]</vt:lpwstr>
  </property>
  <property fmtid="{D5CDD505-2E9C-101B-9397-08002B2CF9AE}" pid="9" name="execute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labels">
    <vt:lpwstr/>
  </property>
  <property fmtid="{D5CDD505-2E9C-101B-9397-08002B2CF9AE}" pid="14" name="out-width">
    <vt:lpwstr>100%</vt:lpwstr>
  </property>
  <property fmtid="{D5CDD505-2E9C-101B-9397-08002B2CF9AE}" pid="15" name="subtitle">
    <vt:lpwstr>Sensitivity-label taxonomy, DLP policy packs, and agency-controlled key management as code</vt:lpwstr>
  </property>
  <property fmtid="{D5CDD505-2E9C-101B-9397-08002B2CF9AE}" pid="16" name="toc-title">
    <vt:lpwstr>Table of contents</vt:lpwstr>
  </property>
</Properties>
</file>