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 Book 00 — Federal Compliance — Volume V Overview: Training &amp; Certification</w:t>
      </w:r>
    </w:p>
    <w:p>
      <w:pPr>
        <w:pStyle w:val="Subtitle"/>
      </w:pPr>
      <w:r>
        <w:t xml:space="preserve">Volume Purpose — the enablement layer that teaches Volumes 0–IV and evidences the training slot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2026-07-19 20:20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2026-07-19 16:20 ET</w:t>
      </w:r>
    </w:p>
    <w:bookmarkEnd w:id="9"/>
    <w:bookmarkStart w:id="10" w:name="volume-purpose"/>
    <w:p>
      <w:pPr>
        <w:pStyle w:val="Heading1"/>
      </w:pPr>
      <w:r>
        <w:t xml:space="preserve">1. Volume Purpose</w:t>
      </w:r>
    </w:p>
    <w:p>
      <w:pPr>
        <w:pStyle w:val="FirstParagraph"/>
      </w:pPr>
      <w:r>
        <w:rPr>
          <w:b/>
          <w:bCs/>
        </w:rPr>
        <w:t xml:space="preserve">Volume V is where the series becomes a workforce.</w:t>
      </w:r>
      <w:r>
        <w:t xml:space="preserve"> </w:t>
      </w:r>
      <w:r>
        <w:t xml:space="preserve">Volumes 0–IV describe the</w:t>
      </w:r>
      <w:r>
        <w:t xml:space="preserve"> </w:t>
      </w:r>
      <w:r>
        <w:t xml:space="preserve">naming and identity substrate, the data platform, the security-operations planes,</w:t>
      </w:r>
      <w:r>
        <w:t xml:space="preserve"> </w:t>
      </w:r>
      <w:r>
        <w:t xml:space="preserve">and the governance and authorization machinery. None of that closes a control</w:t>
      </w:r>
      <w:r>
        <w:t xml:space="preserve"> </w:t>
      </w:r>
      <w:r>
        <w:t xml:space="preserve">until someone can</w:t>
      </w:r>
      <w:r>
        <w:t xml:space="preserve"> </w:t>
      </w:r>
      <w:r>
        <w:rPr>
          <w:b/>
          <w:bCs/>
        </w:rPr>
        <w:t xml:space="preserve">build the mechanism, land its evidence, and trace it</w:t>
      </w:r>
      <w:r>
        <w:t xml:space="preserve"> </w:t>
      </w:r>
      <w:r>
        <w:t xml:space="preserve">from</w:t>
      </w:r>
      <w:r>
        <w:t xml:space="preserve"> </w:t>
      </w:r>
      <w:r>
        <w:t xml:space="preserve">the book that specifies it, through the NIST SP 800-53 Rev 5 control it satisfies,</w:t>
      </w:r>
      <w:r>
        <w:t xml:space="preserve"> </w:t>
      </w:r>
      <w:r>
        <w:t xml:space="preserve">to the FedRAMP 20x KSI that scores it. Volume V builds that competency — and, in</w:t>
      </w:r>
      <w:r>
        <w:t xml:space="preserve"> </w:t>
      </w:r>
      <w:r>
        <w:t xml:space="preserve">doing so, operationalizes the training program that produces the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: proof that the people running the program are trained.</w:t>
      </w:r>
    </w:p>
    <w:p>
      <w:pPr>
        <w:pStyle w:val="BodyText"/>
      </w:pPr>
      <w:r>
        <w:t xml:space="preserve">The volume is organized as two tracks over the same corpus. A</w:t>
      </w:r>
      <w:r>
        <w:t xml:space="preserve"> </w:t>
      </w:r>
      <w:r>
        <w:rPr>
          <w:b/>
          <w:bCs/>
        </w:rPr>
        <w:t xml:space="preserve">compliance</w:t>
      </w:r>
      <w:r>
        <w:rPr>
          <w:b/>
          <w:bCs/>
        </w:rPr>
        <w:t xml:space="preserve"> </w:t>
      </w:r>
      <w:r>
        <w:rPr>
          <w:b/>
          <w:bCs/>
        </w:rPr>
        <w:t xml:space="preserve">track</w:t>
      </w:r>
      <w:r>
        <w:t xml:space="preserve"> </w:t>
      </w:r>
      <w:r>
        <w:t xml:space="preserve">reads the series as control-closure evidence — one module per evidence</w:t>
      </w:r>
      <w:r>
        <w:t xml:space="preserve"> </w:t>
      </w:r>
      <w:r>
        <w:t xml:space="preserve">slot, book → control → KSI → evidence. An</w:t>
      </w:r>
      <w:r>
        <w:t xml:space="preserve"> </w:t>
      </w:r>
      <w:r>
        <w:rPr>
          <w:b/>
          <w:bCs/>
        </w:rPr>
        <w:t xml:space="preserve">implementation track</w:t>
      </w:r>
      <w:r>
        <w:t xml:space="preserve"> </w:t>
      </w:r>
      <w:r>
        <w:t xml:space="preserve">reads it as</w:t>
      </w:r>
      <w:r>
        <w:t xml:space="preserve"> </w:t>
      </w:r>
      <w:r>
        <w:t xml:space="preserve">build instructions — one module per book cluster, each ending by</w:t>
      </w:r>
      <w:r>
        <w:t xml:space="preserve"> </w:t>
      </w:r>
      <w:r>
        <w:rPr>
          <w:i/>
          <w:iCs/>
        </w:rPr>
        <w:t xml:space="preserve">landing an</w:t>
      </w:r>
      <w:r>
        <w:rPr>
          <w:i/>
          <w:iCs/>
        </w:rPr>
        <w:t xml:space="preserve"> </w:t>
      </w:r>
      <w:r>
        <w:rPr>
          <w:i/>
          <w:iCs/>
        </w:rPr>
        <w:t xml:space="preserve">evidence artifact</w:t>
      </w:r>
      <w:r>
        <w:t xml:space="preserve"> </w:t>
      </w:r>
      <w:r>
        <w:t xml:space="preserve">where the conformance adapter can bind it. The volume’s</w:t>
      </w:r>
      <w:r>
        <w:t xml:space="preserve"> </w:t>
      </w:r>
      <w:r>
        <w:t xml:space="preserve">governing claim is the series’ Conformance-Tooling Coverage Gap (Vol 0 Book 00,</w:t>
      </w:r>
      <w:r>
        <w:t xml:space="preserve"> </w:t>
      </w:r>
      <w:r>
        <w:t xml:space="preserve">Executive Summary) turned into a curriculum:</w:t>
      </w:r>
      <w:r>
        <w:t xml:space="preserve"> </w:t>
      </w:r>
      <w:r>
        <w:rPr>
          <w:b/>
          <w:bCs/>
        </w:rPr>
        <w:t xml:space="preserve">conformance tooling measures</w:t>
      </w:r>
      <w:r>
        <w:rPr>
          <w:b/>
          <w:bCs/>
        </w:rPr>
        <w:t xml:space="preserve"> </w:t>
      </w:r>
      <w:r>
        <w:rPr>
          <w:b/>
          <w:bCs/>
        </w:rPr>
        <w:t xml:space="preserve">drift from an intended state; it cannot author one. Ten of the series’ twenty-nine internal KSI</w:t>
      </w:r>
      <w:r>
        <w:rPr>
          <w:b/>
          <w:bCs/>
        </w:rPr>
        <w:t xml:space="preserve"> </w:t>
      </w:r>
      <w:r>
        <w:rPr>
          <w:b/>
          <w:bCs/>
        </w:rPr>
        <w:t xml:space="preserve">rules are attestable by ScuBA-class tooling alone; the other nineteen bind to</w:t>
      </w:r>
      <w:r>
        <w:rPr>
          <w:b/>
          <w:bCs/>
        </w:rPr>
        <w:t xml:space="preserve"> </w:t>
      </w:r>
      <w:r>
        <w:rPr>
          <w:b/>
          <w:bCs/>
        </w:rPr>
        <w:t xml:space="preserve">evidence slots that exist only because a trained workforce built the</w:t>
      </w:r>
      <w:r>
        <w:rPr>
          <w:b/>
          <w:bCs/>
        </w:rPr>
        <w:t xml:space="preserve"> </w:t>
      </w:r>
      <w:r>
        <w:rPr>
          <w:b/>
          <w:bCs/>
        </w:rPr>
        <w:t xml:space="preserve">architecture in Volumes I–IV.</w:t>
      </w:r>
      <w:r>
        <w:t xml:space="preserve"> </w:t>
      </w:r>
      <w:r>
        <w:t xml:space="preserve">A workforce, not a scanner, authors the evidence</w:t>
      </w:r>
      <w:r>
        <w:t xml:space="preserve"> </w:t>
      </w:r>
      <w:r>
        <w:t xml:space="preserve">state — and that competency is itself a control (AT-2/AT-3, KSI-CED).</w:t>
      </w:r>
    </w:p>
    <w:bookmarkEnd w:id="10"/>
    <w:bookmarkStart w:id="11" w:name="books-in-this-volume"/>
    <w:p>
      <w:pPr>
        <w:pStyle w:val="Heading1"/>
      </w:pPr>
      <w:r>
        <w:t xml:space="preserve">2. Books in This Volume</w:t>
      </w:r>
    </w:p>
    <w:p>
      <w:pPr>
        <w:pStyle w:val="TableCaption"/>
      </w:pPr>
      <w:r>
        <w:t xml:space="preserve">Volume V — Training &amp; Certification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Volume V — Training &amp; Certification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01</w:t>
            </w:r>
          </w:p>
        </w:tc>
        <w:tc>
          <w:tcPr/>
          <w:p>
            <w:pPr>
              <w:pStyle w:val="Compact"/>
            </w:pPr>
            <w:r>
              <w:t xml:space="preserve">The Compliance Track</w:t>
            </w:r>
          </w:p>
        </w:tc>
        <w:tc>
          <w:tcPr/>
          <w:p>
            <w:pPr>
              <w:pStyle w:val="Compact"/>
            </w:pPr>
            <w:r>
              <w:t xml:space="preserve">The eight evidence slots taught as curriculum — book → NIST control → FedRAMP 20x KSI → evidence — capped by the eight-slot walk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02</w:t>
            </w:r>
          </w:p>
        </w:tc>
        <w:tc>
          <w:tcPr/>
          <w:p>
            <w:pPr>
              <w:pStyle w:val="Compact"/>
            </w:pPr>
            <w:r>
              <w:t xml:space="preserve">The Implementation Track</w:t>
            </w:r>
          </w:p>
        </w:tc>
        <w:tc>
          <w:tcPr/>
          <w:p>
            <w:pPr>
              <w:pStyle w:val="Compact"/>
            </w:pPr>
            <w:r>
              <w:t xml:space="preserve">Building the Volumes I–IV architectures and</w:t>
            </w:r>
            <w:r>
              <w:t xml:space="preserve"> </w:t>
            </w:r>
            <w:r>
              <w:rPr>
                <w:i/>
                <w:iCs/>
              </w:rPr>
              <w:t xml:space="preserve">landing the evidence</w:t>
            </w:r>
            <w:r>
              <w:t xml:space="preserve"> </w:t>
            </w:r>
            <w:r>
              <w:t xml:space="preserve">Track A consumes; the lab exercises as worked builds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03</w:t>
            </w:r>
          </w:p>
        </w:tc>
        <w:tc>
          <w:tcPr/>
          <w:p>
            <w:pPr>
              <w:pStyle w:val="Compact"/>
            </w:pPr>
            <w:r>
              <w:t xml:space="preserve">Assessment, Rubrics &amp; Certification</w:t>
            </w:r>
          </w:p>
        </w:tc>
        <w:tc>
          <w:tcPr/>
          <w:p>
            <w:pPr>
              <w:pStyle w:val="Compact"/>
            </w:pPr>
            <w:r>
              <w:t xml:space="preserve">The four-level rubric ladder, the eight-slot-walk capstone, and the KSI Closure Necessity Matrix as the certification exam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 Book 04</w:t>
            </w:r>
          </w:p>
        </w:tc>
        <w:tc>
          <w:tcPr/>
          <w:p>
            <w:pPr>
              <w:pStyle w:val="Compact"/>
            </w:pPr>
            <w:r>
              <w:t xml:space="preserve">Vendor Training &amp; Lab Environments</w:t>
            </w:r>
          </w:p>
        </w:tc>
        <w:tc>
          <w:tcPr/>
          <w:p>
            <w:pPr>
              <w:pStyle w:val="Compact"/>
            </w:pPr>
            <w:r>
              <w:t xml:space="preserve">The realization layer — external courses mapped per volume, and scripted fixture / tenant / eval lab environments</w:t>
            </w:r>
          </w:p>
        </w:tc>
      </w:tr>
    </w:tbl>
    <w:p>
      <w:pPr>
        <w:pStyle w:val="BodyText"/>
      </w:pPr>
      <w:r>
        <w:rPr>
          <w:b/>
          <w:bCs/>
        </w:rPr>
        <w:t xml:space="preserve">Relationship to Vol IV Book 05 (Cybersecurity Training &amp; Awareness)</w:t>
      </w:r>
      <w:r>
        <w:t xml:space="preserve"> </w:t>
      </w:r>
      <w:r>
        <w:t xml:space="preserve">— Vol IV Book 05 specifies the</w:t>
      </w:r>
      <w:r>
        <w:t xml:space="preserve"> </w:t>
      </w:r>
      <w:r>
        <w:rPr>
          <w:b/>
          <w:bCs/>
        </w:rPr>
        <w:t xml:space="preserve">AT-family training program and its control closure</w:t>
      </w:r>
      <w:r>
        <w:t xml:space="preserve"> </w:t>
      </w:r>
      <w:r>
        <w:t xml:space="preserve">(AT-2/3/4, CP-3, IR-2). This volume is the</w:t>
      </w:r>
      <w:r>
        <w:t xml:space="preserve"> </w:t>
      </w:r>
      <w:r>
        <w:rPr>
          <w:b/>
          <w:bCs/>
        </w:rPr>
        <w:t xml:space="preserve">academy</w:t>
      </w:r>
      <w:r>
        <w:t xml:space="preserve"> </w:t>
      </w:r>
      <w:r>
        <w:t xml:space="preserve">that operationalizes that program at manuscript depth — the two tracks, labs, and certification — and produces the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/ KSI-CED evidence the program depends on. The division is deliberate: Vol IV Book 05 states</w:t>
      </w:r>
      <w:r>
        <w:t xml:space="preserve"> </w:t>
      </w:r>
      <w:r>
        <w:rPr>
          <w:i/>
          <w:iCs/>
        </w:rPr>
        <w:t xml:space="preserve">what the program must be and close</w:t>
      </w:r>
      <w:r>
        <w:t xml:space="preserve">; Volume V</w:t>
      </w:r>
      <w:r>
        <w:t xml:space="preserve"> </w:t>
      </w:r>
      <w:r>
        <w:rPr>
          <w:i/>
          <w:iCs/>
        </w:rPr>
        <w:t xml:space="preserve">teaches it, runs the labs, and certifies competency</w:t>
      </w:r>
      <w:r>
        <w:t xml:space="preserve">. The two cross-reference rather than duplicate.</w:t>
      </w:r>
    </w:p>
    <w:bookmarkEnd w:id="11"/>
    <w:bookmarkStart w:id="12" w:name="how-this-volume-fits-the-program"/>
    <w:p>
      <w:pPr>
        <w:pStyle w:val="Heading1"/>
      </w:pPr>
      <w:r>
        <w:t xml:space="preserve">3. How This Volume Fits the Program</w:t>
      </w:r>
    </w:p>
    <w:p>
      <w:pPr>
        <w:pStyle w:val="FirstParagraph"/>
      </w:pPr>
      <w:r>
        <w:t xml:space="preserve">Volume V</w:t>
      </w:r>
      <w:r>
        <w:t xml:space="preserve"> </w:t>
      </w:r>
      <w:r>
        <w:rPr>
          <w:b/>
          <w:bCs/>
        </w:rPr>
        <w:t xml:space="preserve">depends on every architecture volume it teaches (Volumes 0–IV)</w:t>
      </w:r>
      <w:r>
        <w:t xml:space="preserve"> </w:t>
      </w:r>
      <w:r>
        <w:t xml:space="preserve">— it</w:t>
      </w:r>
      <w:r>
        <w:t xml:space="preserve"> </w:t>
      </w:r>
      <w:r>
        <w:t xml:space="preserve">teaches them, referencing each Vol I–IV book by its coordinates rather than</w:t>
      </w:r>
      <w:r>
        <w:t xml:space="preserve"> </w:t>
      </w:r>
      <w:r>
        <w:t xml:space="preserve">restating it. It</w:t>
      </w:r>
      <w:r>
        <w:t xml:space="preserve"> </w:t>
      </w:r>
      <w:r>
        <w:rPr>
          <w:b/>
          <w:bCs/>
        </w:rPr>
        <w:t xml:space="preserve">produces</w:t>
      </w:r>
      <w:r>
        <w:t xml:space="preserve"> </w:t>
      </w:r>
      <w:r>
        <w:t xml:space="preserve">two things the program depends on:</w:t>
      </w:r>
      <w:r>
        <w:t xml:space="preserve"> </w:t>
      </w:r>
      <w:r>
        <w:rPr>
          <w:b/>
          <w:bCs/>
        </w:rPr>
        <w:t xml:space="preserve">trained operators and assessors</w:t>
      </w:r>
      <w:r>
        <w:t xml:space="preserve">, and the</w:t>
      </w:r>
      <w:r>
        <w:t xml:space="preserve"> </w:t>
      </w:r>
      <w:r>
        <w:rPr>
          <w:rStyle w:val="VerbatimChar"/>
          <w:b/>
          <w:bCs/>
        </w:rPr>
        <w:t xml:space="preserve">training-effectiveness-record</w:t>
      </w:r>
      <w:r>
        <w:t xml:space="preserve"> </w:t>
      </w:r>
      <w:r>
        <w:t xml:space="preserve">that Volume IV’s Authorization Package &amp; ConMon book (Vol IV Book 06) freezes</w:t>
      </w:r>
      <w:r>
        <w:t xml:space="preserve"> </w:t>
      </w:r>
      <w:r>
        <w:t xml:space="preserve">into the OSCAL bundle as the slot-8 / KSI-CED closure. The truth-versus-</w:t>
      </w:r>
      <w:r>
        <w:t xml:space="preserve"> </w:t>
      </w:r>
      <w:r>
        <w:t xml:space="preserve">enforcement separation holds here as everywhere: the</w:t>
      </w:r>
      <w:r>
        <w:t xml:space="preserve"> </w:t>
      </w:r>
      <w:r>
        <w:rPr>
          <w:b/>
          <w:bCs/>
        </w:rPr>
        <w:t xml:space="preserve">certification record is a</w:t>
      </w:r>
      <w:r>
        <w:rPr>
          <w:b/>
          <w:bCs/>
        </w:rPr>
        <w:t xml:space="preserve"> </w:t>
      </w:r>
      <w:r>
        <w:rPr>
          <w:b/>
          <w:bCs/>
        </w:rPr>
        <w:t xml:space="preserve">truth-plane artifact</w:t>
      </w:r>
      <w:r>
        <w:t xml:space="preserve"> </w:t>
      </w:r>
      <w:r>
        <w:t xml:space="preserve">— it attests competency and feeds the KSI pipeline —</w:t>
      </w:r>
      <w:r>
        <w:t xml:space="preserve"> </w:t>
      </w:r>
      <w:r>
        <w:t xml:space="preserve">while the</w:t>
      </w:r>
      <w:r>
        <w:t xml:space="preserve"> </w:t>
      </w:r>
      <w:r>
        <w:rPr>
          <w:b/>
          <w:bCs/>
        </w:rPr>
        <w:t xml:space="preserve">courses and labs are enforcement-plane</w:t>
      </w:r>
      <w:r>
        <w:t xml:space="preserve">, re-platformable per vendor</w:t>
      </w:r>
      <w:r>
        <w:t xml:space="preserve"> </w:t>
      </w:r>
      <w:r>
        <w:t xml:space="preserve">(Theme F, the realization layer). Remove Volume V and Volumes I–IV survive as</w:t>
      </w:r>
      <w:r>
        <w:t xml:space="preserve"> </w:t>
      </w:r>
      <w:r>
        <w:t xml:space="preserve">documents, but the path from</w:t>
      </w:r>
      <w:r>
        <w:t xml:space="preserve"> </w:t>
      </w:r>
      <w:r>
        <w:t xml:space="preserve">“the books exist”</w:t>
      </w:r>
      <w:r>
        <w:t xml:space="preserve"> </w:t>
      </w:r>
      <w:r>
        <w:t xml:space="preserve">to</w:t>
      </w:r>
      <w:r>
        <w:t xml:space="preserve"> </w:t>
      </w:r>
      <w:r>
        <w:t xml:space="preserve">“the workforce closes the</w:t>
      </w:r>
      <w:r>
        <w:t xml:space="preserve"> </w:t>
      </w:r>
      <w:r>
        <w:t xml:space="preserve">controls and the training KSI evaluates”</w:t>
      </w:r>
      <w:r>
        <w:t xml:space="preserve"> </w:t>
      </w:r>
      <w:r>
        <w:t xml:space="preserve">does not.</w:t>
      </w:r>
    </w:p>
    <w:bookmarkEnd w:id="12"/>
    <w:bookmarkStart w:id="14" w:name="X8370e8c548a65b81ec17d9ad6cc210ed489b073"/>
    <w:p>
      <w:pPr>
        <w:pStyle w:val="Heading1"/>
      </w:pPr>
      <w:r>
        <w:t xml:space="preserve">4. Where This Volume’s Evidence Lands — Volume X (Optional)</w:t>
      </w:r>
    </w:p>
    <w:p>
      <w:pPr>
        <w:pStyle w:val="FirstParagraph"/>
      </w:pPr>
      <w:r>
        <w:t xml:space="preserve">Where the closures and evidence this volume produces bind to the governance</w:t>
      </w:r>
      <w:r>
        <w:t xml:space="preserve"> </w:t>
      </w:r>
      <w:r>
        <w:t xml:space="preserve">substrate — the conformance layer, the surface slots, and the evidence</w:t>
      </w:r>
      <w:r>
        <w:t xml:space="preserve"> </w:t>
      </w:r>
      <w:r>
        <w:t xml:space="preserve">contract — is documented once, for the whole series, in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Vol X Book 00 — Governance-Substrate Integration</w:t>
        </w:r>
      </w:hyperlink>
      <w:r>
        <w:t xml:space="preserve">.</w:t>
      </w:r>
      <w:r>
        <w:t xml:space="preserve"> </w:t>
      </w:r>
      <w:r>
        <w:t xml:space="preserve">The binding is</w:t>
      </w:r>
      <w:r>
        <w:t xml:space="preserve"> </w:t>
      </w:r>
      <w:r>
        <w:rPr>
          <w:b/>
          <w:bCs/>
        </w:rPr>
        <w:t xml:space="preserve">optional and separable</w:t>
      </w:r>
      <w:r>
        <w:t xml:space="preserve">: this volume, and the series it</w:t>
      </w:r>
      <w:r>
        <w:t xml:space="preserve"> </w:t>
      </w:r>
      <w:r>
        <w:t xml:space="preserve">belongs to, stands complete at FedRAMP Moderate with no substrate engagement</w:t>
      </w:r>
      <w:r>
        <w:t xml:space="preserve"> </w:t>
      </w:r>
      <w:r>
        <w:t xml:space="preserve">at all; adopting the substrate adds machine-checked scoring and drift-gating</w:t>
      </w:r>
      <w:r>
        <w:t xml:space="preserve"> </w:t>
      </w:r>
      <w:r>
        <w:t xml:space="preserve">on top of what is already closed, and can be adopted later — or never —</w:t>
      </w:r>
      <w:r>
        <w:t xml:space="preserve"> </w:t>
      </w:r>
      <w:r>
        <w:t xml:space="preserve">without rework.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Vol_X_Book_00_Governance_Substrate_Integration_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Vol_X_Book_00_Governance_Substrate_Integration_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 Book 00 — Federal Compliance — Volume V Overview: Training &amp; Certification</dc:title>
  <dc:creator>Federal Cloud Services</dc:creator>
  <cp:keywords/>
  <dcterms:created xsi:type="dcterms:W3CDTF">2026-10-19T10:10:26Z</dcterms:created>
  <dcterms:modified xsi:type="dcterms:W3CDTF">2026-10-19T10:10:26Z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2026-07-19 20:20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Volume Purpose — the enablement layer that teaches Volumes 0–IV and evidences the training slot</vt:lpwstr>
  </property>
  <property fmtid="{D5CDD505-2E9C-101B-9397-08002B2CF9AE}" pid="16" name="toc-title">
    <vt:lpwstr>Table of contents</vt:lpwstr>
  </property>
</Properties>
</file>