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 Book 01 — Federal Compliance — The Compliance Track</w:t>
      </w:r>
    </w:p>
    <w:p>
      <w:pPr>
        <w:pStyle w:val="Subtitle"/>
      </w:pPr>
      <w:r>
        <w:t xml:space="preserve">The eight evidence slots taught as a FedRAMP 20x / NIST SP 800-53 Rev 5 curriculum — book → control → KSI → evidence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2026-07-18 10:20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9"/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Volumes I–IV of this series build a system; Volume V teaches it. This book is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compliance track</w:t>
      </w:r>
      <w:r>
        <w:t xml:space="preserve"> </w:t>
      </w:r>
      <w:r>
        <w:t xml:space="preserve">of that teaching — the reading of the corpus that a</w:t>
      </w:r>
      <w:r>
        <w:t xml:space="preserve"> </w:t>
      </w:r>
      <w:r>
        <w:t xml:space="preserve">FedRAMP 20x assessor, an ISSO, or a ConMon operator needs. It does not build</w:t>
      </w:r>
      <w:r>
        <w:t xml:space="preserve"> </w:t>
      </w:r>
      <w:r>
        <w:t xml:space="preserve">anything new. It takes the eight evidence slots the conformance adapter</w:t>
      </w:r>
      <w:r>
        <w:t xml:space="preserve"> </w:t>
      </w:r>
      <w:r>
        <w:t xml:space="preserve">evaluates and turns each one into a module: which books close it, which NIST</w:t>
      </w:r>
      <w:r>
        <w:t xml:space="preserve"> </w:t>
      </w:r>
      <w:r>
        <w:t xml:space="preserve">SP 800-53 Rev 5 controls they close, which FedRAMP 20x Key Security Indicator</w:t>
      </w:r>
      <w:r>
        <w:t xml:space="preserve"> </w:t>
      </w:r>
      <w:r>
        <w:t xml:space="preserve">(KSI) scores the closure, and what artifact proves the chain end-to-end.</w:t>
      </w:r>
    </w:p>
    <w:p>
      <w:pPr>
        <w:pStyle w:val="BodyText"/>
      </w:pPr>
      <w:r>
        <w:t xml:space="preserve">The track exists because of a fact the series states in Vol 0 Book 00 and this</w:t>
      </w:r>
      <w:r>
        <w:t xml:space="preserve"> </w:t>
      </w:r>
      <w:r>
        <w:t xml:space="preserve">book operationalizes:</w:t>
      </w:r>
      <w:r>
        <w:t xml:space="preserve"> </w:t>
      </w:r>
      <w:r>
        <w:rPr>
          <w:b/>
          <w:bCs/>
        </w:rPr>
        <w:t xml:space="preserve">conformance tooling measures drift from an intended</w:t>
      </w:r>
      <w:r>
        <w:rPr>
          <w:b/>
          <w:bCs/>
        </w:rPr>
        <w:t xml:space="preserve"> </w:t>
      </w:r>
      <w:r>
        <w:rPr>
          <w:b/>
          <w:bCs/>
        </w:rPr>
        <w:t xml:space="preserve">state; it cannot author one.</w:t>
      </w:r>
      <w:r>
        <w:t xml:space="preserve"> </w:t>
      </w:r>
      <w:r>
        <w:t xml:space="preserve">Ten of the series’ twenty-nine internal KSI rules are attestable</w:t>
      </w:r>
      <w:r>
        <w:t xml:space="preserve"> </w:t>
      </w:r>
      <w:r>
        <w:t xml:space="preserve">by ScuBA-class tooling alone (KSI-001..010, via the CISA ScuBA adapter). The</w:t>
      </w:r>
      <w:r>
        <w:t xml:space="preserve"> </w:t>
      </w:r>
      <w:r>
        <w:t xml:space="preserve">other nineteen bind to evidence slots that exist only because a workforce built</w:t>
      </w:r>
      <w:r>
        <w:t xml:space="preserve"> </w:t>
      </w:r>
      <w:r>
        <w:t xml:space="preserve">the architecture in Volumes I–IV — and an assessor can only score those slots if</w:t>
      </w:r>
      <w:r>
        <w:t xml:space="preserve"> </w:t>
      </w:r>
      <w:r>
        <w:t xml:space="preserve">someone can trace the book that produced the evidence to the control it closes</w:t>
      </w:r>
      <w:r>
        <w:t xml:space="preserve"> </w:t>
      </w:r>
      <w:r>
        <w:t xml:space="preserve">to the KSI rule that reads it. That tracing skill is what this track certifies.</w:t>
      </w:r>
    </w:p>
    <w:p>
      <w:pPr>
        <w:pStyle w:val="BodyText"/>
      </w:pPr>
      <w:r>
        <w:rPr>
          <w:b/>
          <w:bCs/>
        </w:rPr>
        <w:t xml:space="preserve">Audience.</w:t>
      </w:r>
      <w:r>
        <w:t xml:space="preserve"> </w:t>
      </w:r>
      <w:r>
        <w:t xml:space="preserve">ISSOs / ISSMs, 3PAO assessors, ConMon operators, and compliance</w:t>
      </w:r>
      <w:r>
        <w:t xml:space="preserve"> </w:t>
      </w:r>
      <w:r>
        <w:t xml:space="preserve">leads. Product-level engineering skill is optional here — it is the concern of</w:t>
      </w:r>
      <w:r>
        <w:t xml:space="preserve"> </w:t>
      </w:r>
      <w:r>
        <w:t xml:space="preserve">Vol V Book 02 (The Implementation Track). What this book demands is fluency in</w:t>
      </w:r>
      <w:r>
        <w:t xml:space="preserve"> </w:t>
      </w:r>
      <w:r>
        <w:t xml:space="preserve">the evidence model: the eight slots, the controls under each, and the KSI</w:t>
      </w:r>
      <w:r>
        <w:t xml:space="preserve"> </w:t>
      </w:r>
      <w:r>
        <w:t xml:space="preserve">verdicts the OSCAL emitter produces from them.</w:t>
      </w:r>
    </w:p>
    <w:p>
      <w:pPr>
        <w:pStyle w:val="BodyText"/>
      </w:pPr>
      <w:r>
        <w:rPr>
          <w:b/>
          <w:bCs/>
        </w:rPr>
        <w:t xml:space="preserve">Closure claims are advisory.</w:t>
      </w:r>
      <w:r>
        <w:t xml:space="preserve"> </w:t>
      </w:r>
      <w:r>
        <w:t xml:space="preserve">Every control-closure statement in this track</w:t>
      </w:r>
      <w:r>
        <w:t xml:space="preserve"> </w:t>
      </w:r>
      <w:r>
        <w:t xml:space="preserve">is a self-assessment pending independent security control assessment (SCA) and</w:t>
      </w:r>
      <w:r>
        <w:t xml:space="preserve"> </w:t>
      </w:r>
      <w:r>
        <w:t xml:space="preserve">formal FedRAMP PMO / AO review. The track teaches how to</w:t>
      </w:r>
      <w:r>
        <w:t xml:space="preserve"> </w:t>
      </w:r>
      <w:r>
        <w:rPr>
          <w:i/>
          <w:iCs/>
        </w:rPr>
        <w:t xml:space="preserve">trace and evidence</w:t>
      </w:r>
      <w:r>
        <w:t xml:space="preserve"> </w:t>
      </w:r>
      <w:r>
        <w:t xml:space="preserve">a</w:t>
      </w:r>
      <w:r>
        <w:t xml:space="preserve"> </w:t>
      </w:r>
      <w:r>
        <w:t xml:space="preserve">closure claim, not how to assert one as adjudicated fact.</w:t>
      </w:r>
    </w:p>
    <w:bookmarkEnd w:id="10"/>
    <w:bookmarkStart w:id="11" w:name="how-to-read-this-track"/>
    <w:p>
      <w:pPr>
        <w:pStyle w:val="Heading1"/>
      </w:pPr>
      <w:r>
        <w:t xml:space="preserve">2. How to Read This Track</w:t>
      </w:r>
    </w:p>
    <w:p>
      <w:pPr>
        <w:pStyle w:val="FirstParagraph"/>
      </w:pPr>
      <w:r>
        <w:t xml:space="preserve">Each module below gives you four things, in the same order: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Read</w:t>
      </w:r>
      <w:r>
        <w:t xml:space="preserve"> </w:t>
      </w:r>
      <w:r>
        <w:t xml:space="preserve">— the Compliance book(s), by volume coordinate, bound to the slot.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Controls</w:t>
      </w:r>
      <w:r>
        <w:t xml:space="preserve"> </w:t>
      </w:r>
      <w:r>
        <w:t xml:space="preserve">— the NIST SP 800-53 Rev 5 anchor controls the slot closes.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Evaluate</w:t>
      </w:r>
      <w:r>
        <w:t xml:space="preserve"> </w:t>
      </w:r>
      <w:r>
        <w:t xml:space="preserve">— the FedRAMP 20x KSI category that scores the closure.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Checkpoint</w:t>
      </w:r>
      <w:r>
        <w:t xml:space="preserve"> </w:t>
      </w:r>
      <w:r>
        <w:t xml:space="preserve">— a concrete artifact or CLI run proving you can trace</w:t>
      </w:r>
      <w:r>
        <w:t xml:space="preserve"> </w:t>
      </w:r>
      <w:r>
        <w:t xml:space="preserve">book → control → KSI → evidence for that slot.</w:t>
      </w:r>
    </w:p>
    <w:p>
      <w:pPr>
        <w:pStyle w:val="FirstParagraph"/>
      </w:pPr>
      <w:r>
        <w:t xml:space="preserve">The slots are the eight evidence-slot mappings in the conformance adapter’s</w:t>
      </w:r>
      <w:r>
        <w:t xml:space="preserve"> </w:t>
      </w:r>
      <w:r>
        <w:t xml:space="preserve">[</w:t>
      </w:r>
      <w:r>
        <w:rPr>
          <w:rStyle w:val="VerbatimChar"/>
        </w:rPr>
        <w:t xml:space="preserve">fedramp_aan_catalog</w:t>
      </w:r>
      <w:r>
        <w:t xml:space="preserve">]</w:t>
      </w:r>
      <w:r>
        <w:t xml:space="preserve"> </w:t>
      </w:r>
      <w:r>
        <w:t xml:space="preserve">— the same YAML the pipeline evaluates, so the curriculum cannot silently drift</w:t>
      </w:r>
      <w:r>
        <w:t xml:space="preserve"> </w:t>
      </w:r>
      <w:r>
        <w:t xml:space="preserve">from the evidence model. Run the pipeline pieces as you go:</w:t>
      </w:r>
    </w:p>
    <w:p>
      <w:pPr>
        <w:pStyle w:val="SourceCode"/>
      </w:pPr>
      <w:r>
        <w:rPr>
          <w:rStyle w:val="CommentTok"/>
        </w:rPr>
        <w:t xml:space="preserve"># Plane 2: evaluate an IR file against the KSI rules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ksi </w:t>
      </w:r>
      <w:r>
        <w:rPr>
          <w:rStyle w:val="ExtensionTok"/>
        </w:rPr>
        <w:t xml:space="preserve">evaluate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--ir</w:t>
      </w:r>
      <w:r>
        <w:rPr>
          <w:rStyle w:val="NormalTok"/>
        </w:rPr>
        <w:t xml:space="preserve"> ./output/ir/tenant.ir.json </w:t>
      </w:r>
      <w:r>
        <w:rPr>
          <w:rStyle w:val="AttributeTok"/>
        </w:rPr>
        <w:t xml:space="preserve">--out</w:t>
      </w:r>
      <w:r>
        <w:rPr>
          <w:rStyle w:val="NormalTok"/>
        </w:rPr>
        <w:t xml:space="preserve"> ./output/ksi/tenant.ksi.json</w:t>
      </w:r>
      <w:r>
        <w:br/>
      </w:r>
      <w:r>
        <w:br/>
      </w:r>
      <w:r>
        <w:rPr>
          <w:rStyle w:val="CommentTok"/>
        </w:rPr>
        <w:t xml:space="preserve"># Assessment Results from the Compliance slot evidence bindings</w:t>
      </w:r>
      <w:r>
        <w:br/>
      </w:r>
      <w:r>
        <w:rPr>
          <w:rStyle w:val="CommentTok"/>
        </w:rPr>
        <w:t xml:space="preserve"># (per-KSI satisfied / not-satisfied / not-evaluated verdicts)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ksi-ar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--output</w:t>
      </w:r>
      <w:r>
        <w:rPr>
          <w:rStyle w:val="NormalTok"/>
        </w:rPr>
        <w:t xml:space="preserve"> exports/oscal/ksi-ar.json</w:t>
      </w:r>
      <w:r>
        <w:br/>
      </w:r>
      <w:r>
        <w:br/>
      </w:r>
      <w:r>
        <w:rPr>
          <w:rStyle w:val="CommentTok"/>
        </w:rPr>
        <w:t xml:space="preserve"># POA&amp;M + SSP from an evidence bundle</w:t>
      </w:r>
      <w:r>
        <w:br/>
      </w:r>
      <w:r>
        <w:rPr>
          <w:rStyle w:val="OperatorTok"/>
        </w:rPr>
        <w:t xml:space="preserve">&lt;</w:t>
      </w:r>
      <w:r>
        <w:rPr>
          <w:rStyle w:val="NormalTok"/>
        </w:rPr>
        <w:t xml:space="preserve">engine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oscal </w:t>
      </w:r>
      <w:r>
        <w:rPr>
          <w:rStyle w:val="ExtensionTok"/>
        </w:rPr>
        <w:t xml:space="preserve">generate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--help</w:t>
      </w:r>
    </w:p>
    <w:p>
      <w:pPr>
        <w:pStyle w:val="BlockText"/>
      </w:pPr>
      <w:r>
        <w:rPr>
          <w:b/>
          <w:bCs/>
        </w:rPr>
        <w:t xml:space="preserve">Closure Necessity — why a track, not a checklist.</w:t>
      </w:r>
      <w:r>
        <w:t xml:space="preserve"> </w:t>
      </w:r>
      <w:r>
        <w:t xml:space="preserve">A checklist asserts that</w:t>
      </w:r>
      <w:r>
        <w:t xml:space="preserve"> </w:t>
      </w:r>
      <w:r>
        <w:t xml:space="preserve">a control is met; it cannot show</w:t>
      </w:r>
      <w:r>
        <w:t xml:space="preserve"> </w:t>
      </w:r>
      <w:r>
        <w:rPr>
          <w:i/>
          <w:iCs/>
        </w:rPr>
        <w:t xml:space="preserve">why no alternate mechanism would meet it</w:t>
      </w:r>
      <w:r>
        <w:t xml:space="preserve">.</w:t>
      </w:r>
      <w:r>
        <w:t xml:space="preserve"> </w:t>
      </w:r>
      <w:r>
        <w:t xml:space="preserve">The compliance track’s core discipline is the series’ Closure Necessity</w:t>
      </w:r>
      <w:r>
        <w:t xml:space="preserve"> </w:t>
      </w:r>
      <w:r>
        <w:t xml:space="preserve">doctrine (Vol 0 Book 00, Theme A): for each slot, name the mechanism that</w:t>
      </w:r>
      <w:r>
        <w:t xml:space="preserve"> </w:t>
      </w:r>
      <w:r>
        <w:t xml:space="preserve">closes the control and the reason — control text, physics, or protocol</w:t>
      </w:r>
      <w:r>
        <w:t xml:space="preserve"> </w:t>
      </w:r>
      <w:r>
        <w:t xml:space="preserve">behavior — that no scanner finding or policy document substitutes for it. An</w:t>
      </w:r>
      <w:r>
        <w:t xml:space="preserve"> </w:t>
      </w:r>
      <w:r>
        <w:t xml:space="preserve">assessor who can only recite that a slot is</w:t>
      </w:r>
      <w:r>
        <w:t xml:space="preserve"> </w:t>
      </w:r>
      <w:r>
        <w:t xml:space="preserve">“satisfied”</w:t>
      </w:r>
      <w:r>
        <w:t xml:space="preserve"> </w:t>
      </w:r>
      <w:r>
        <w:t xml:space="preserve">has not closed it; an</w:t>
      </w:r>
      <w:r>
        <w:t xml:space="preserve"> </w:t>
      </w:r>
      <w:r>
        <w:t xml:space="preserve">assessor who can state why the closure is the only path has.</w:t>
      </w:r>
    </w:p>
    <w:bookmarkEnd w:id="11"/>
    <w:bookmarkStart w:id="12" w:name="X8cd38bafef6a2e3a7ba9ae03d85437b757c483d"/>
    <w:p>
      <w:pPr>
        <w:pStyle w:val="Heading1"/>
      </w:pPr>
      <w:r>
        <w:t xml:space="preserve">3. Module A0 — Orientation: the Compliance Shape of the Corpus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0 Book 00 (Executive Summary) and the</w:t>
      </w:r>
      <w:r>
        <w:t xml:space="preserve"> </w:t>
      </w:r>
      <w:r>
        <w:t xml:space="preserve">[Compliance / ConMon Compliance Gap Roadmap].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Learn:</w:t>
      </w:r>
      <w:r>
        <w:t xml:space="preserve"> </w:t>
      </w:r>
      <w:r>
        <w:t xml:space="preserve">the FedRAMP 20x timeline — the Class A pipeline opens August 3, 2026,</w:t>
      </w:r>
      <w:r>
        <w:t xml:space="preserve"> </w:t>
      </w:r>
      <w:r>
        <w:t xml:space="preserve">CR26 mandatory January 1, 2027 (existing Rev5 Certifications must adopt; FedRAMP</w:t>
      </w:r>
      <w:r>
        <w:t xml:space="preserve"> </w:t>
      </w:r>
      <w:r>
        <w:t xml:space="preserve">stops accepting new Rev5 Certifications after June 11, 2027) — the</w:t>
      </w:r>
      <w:r>
        <w:t xml:space="preserve"> </w:t>
      </w:r>
      <w:r>
        <w:t xml:space="preserve">BOD 26-04 VDR/VER deadline (December 7, 2026), and the split the whole program</w:t>
      </w:r>
      <w:r>
        <w:t xml:space="preserve"> </w:t>
      </w:r>
      <w:r>
        <w:t xml:space="preserve">turns on — the</w:t>
      </w:r>
      <w:r>
        <w:t xml:space="preserve"> </w:t>
      </w:r>
      <w:r>
        <w:rPr>
          <w:b/>
          <w:bCs/>
        </w:rPr>
        <w:t xml:space="preserve">evidence</w:t>
      </w:r>
      <w:r>
        <w:rPr>
          <w:b/>
          <w:bCs/>
        </w:rPr>
        <w:t xml:space="preserve"> </w:t>
      </w:r>
      <w:r>
        <w:rPr>
          <w:b/>
          <w:bCs/>
        </w:rPr>
        <w:t xml:space="preserve">generation layer</w:t>
      </w:r>
      <w:r>
        <w:t xml:space="preserve"> </w:t>
      </w:r>
      <w:r>
        <w:t xml:space="preserve">(the books of Volumes I–IV) versus the</w:t>
      </w:r>
      <w:r>
        <w:t xml:space="preserve"> </w:t>
      </w:r>
      <w:r>
        <w:rPr>
          <w:b/>
          <w:bCs/>
        </w:rPr>
        <w:t xml:space="preserve">evidence</w:t>
      </w:r>
      <w:r>
        <w:rPr>
          <w:b/>
          <w:bCs/>
        </w:rPr>
        <w:t xml:space="preserve"> </w:t>
      </w:r>
      <w:r>
        <w:rPr>
          <w:b/>
          <w:bCs/>
        </w:rPr>
        <w:t xml:space="preserve">governance layer</w:t>
      </w:r>
      <w:r>
        <w:t xml:space="preserve"> </w:t>
      </w:r>
      <w:r>
        <w:t xml:space="preserve">(the conformance adapter and OSCAL emitter that this track</w:t>
      </w:r>
      <w:r>
        <w:t xml:space="preserve"> </w:t>
      </w:r>
      <w:r>
        <w:t xml:space="preserve">reads).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write a one-page brief stating which control families the</w:t>
      </w:r>
      <w:r>
        <w:t xml:space="preserve"> </w:t>
      </w:r>
      <w:r>
        <w:t xml:space="preserve">corpus closes today, which were structurally absent until the governance and</w:t>
      </w:r>
      <w:r>
        <w:t xml:space="preserve"> </w:t>
      </w:r>
      <w:r>
        <w:t xml:space="preserve">training books (SR, PM, PT, AT — Vol IV Books 02, 03, 04, 05), and how Vol IV</w:t>
      </w:r>
      <w:r>
        <w:t xml:space="preserve"> </w:t>
      </w:r>
      <w:r>
        <w:t xml:space="preserve">Book 06 (Authorization Package &amp; ConMon) assembles the AP/AR/POA&amp;M package now</w:t>
      </w:r>
      <w:r>
        <w:t xml:space="preserve"> </w:t>
      </w:r>
      <w:r>
        <w:t xml:space="preserve">that all 29 internal KSI-decomposition rules are evaluable.</w:t>
      </w:r>
    </w:p>
    <w:p>
      <w:pPr>
        <w:pStyle w:val="FirstParagraph"/>
      </w:pPr>
      <w:r>
        <w:t xml:space="preserve">Orientation is the one module with no slot of its own. Its product is the mental</w:t>
      </w:r>
      <w:r>
        <w:t xml:space="preserve"> </w:t>
      </w:r>
      <w:r>
        <w:t xml:space="preserve">model every later module assumes: the corpus is a stack of</w:t>
      </w:r>
      <w:r>
        <w:t xml:space="preserve"> </w:t>
      </w:r>
      <w:r>
        <w:rPr>
          <w:i/>
          <w:iCs/>
        </w:rPr>
        <w:t xml:space="preserve">truth planes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enforcement planes</w:t>
      </w:r>
      <w:r>
        <w:t xml:space="preserve"> </w:t>
      </w:r>
      <w:r>
        <w:t xml:space="preserve">(Vol 0 Book 00’s Functional Plane Model), and evidence</w:t>
      </w:r>
      <w:r>
        <w:t xml:space="preserve"> </w:t>
      </w:r>
      <w:r>
        <w:t xml:space="preserve">flows from the truth planes into the eight slots. Get the timeline and the</w:t>
      </w:r>
      <w:r>
        <w:t xml:space="preserve"> </w:t>
      </w:r>
      <w:r>
        <w:t xml:space="preserve">generation-versus-governance split in your head before touching a slot.</w:t>
      </w:r>
    </w:p>
    <w:bookmarkEnd w:id="12"/>
    <w:bookmarkStart w:id="13" w:name="module-a1-identity-control-plane-slot-1"/>
    <w:p>
      <w:pPr>
        <w:pStyle w:val="Heading1"/>
      </w:pPr>
      <w:r>
        <w:t xml:space="preserve">4. Module A1 — Identity Control Plane (Slot 1)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03 (Certificates &amp; Tokens — the cryptographic credential</w:t>
      </w:r>
      <w:r>
        <w:t xml:space="preserve"> </w:t>
      </w:r>
      <w:r>
        <w:t xml:space="preserve">plane), Vol I Book 04 (HRIT Identity &amp; Org SSOT — the authoritative lifecycle</w:t>
      </w:r>
      <w:r>
        <w:t xml:space="preserve"> </w:t>
      </w:r>
      <w:r>
        <w:t xml:space="preserve">source), Vol I Book 05 (Network Modernization — Entra ID, ZTNA, active</w:t>
      </w:r>
      <w:r>
        <w:t xml:space="preserve"> </w:t>
      </w:r>
      <w:r>
        <w:t xml:space="preserve">governance), Vol II Book 01 (SQL Server Authentication Modernization), and</w:t>
      </w:r>
      <w:r>
        <w:t xml:space="preserve"> </w:t>
      </w:r>
      <w:r>
        <w:t xml:space="preserve">Vol III Book 01 (Privileged Access Management). Vol II Book 02 (SQL Server</w:t>
      </w:r>
      <w:r>
        <w:t xml:space="preserve"> </w:t>
      </w:r>
      <w:r>
        <w:t xml:space="preserve">Implementation) is the procedural companion.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IA-2 (+enhancements 1, 2, 6), IA-5, IA-11, AC-2 (+1), AC-3,</w:t>
      </w:r>
      <w:r>
        <w:t xml:space="preserve"> </w:t>
      </w:r>
      <w:r>
        <w:t xml:space="preserve">AC-5, the AC-6 family, AC-17, CA-7.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KSI-IAM</w:t>
      </w:r>
      <w:r>
        <w:t xml:space="preserve"> </w:t>
      </w:r>
      <w:r>
        <w:t xml:space="preserve">— anchor</w:t>
      </w:r>
      <w:r>
        <w:t xml:space="preserve"> </w:t>
      </w:r>
      <w:r>
        <w:rPr>
          <w:rStyle w:val="VerbatimChar"/>
        </w:rPr>
        <w:t xml:space="preserve">IA-2 / AC-2</w:t>
      </w:r>
      <w:r>
        <w:t xml:space="preserve">; evidence source:</w:t>
      </w:r>
      <w:r>
        <w:t xml:space="preserve"> </w:t>
      </w:r>
      <w:r>
        <w:t xml:space="preserve">identity-provider sign-in and risk logs.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for one privileged role, trace the full chain — Vol III</w:t>
      </w:r>
      <w:r>
        <w:t xml:space="preserve"> </w:t>
      </w:r>
      <w:r>
        <w:t xml:space="preserve">Book 01’s PIM design → the AC-6 enhancement it closes → the KSI-IAM rule that</w:t>
      </w:r>
      <w:r>
        <w:t xml:space="preserve"> </w:t>
      </w:r>
      <w:r>
        <w:t xml:space="preserve">scores it → the sign-in/audit-log evidence the collector ingests.</w:t>
      </w:r>
    </w:p>
    <w:p>
      <w:pPr>
        <w:pStyle w:val="FirstParagraph"/>
      </w:pPr>
      <w:r>
        <w:t xml:space="preserve">Slot 1 is where the series’ identity doctrine lands as evidence. Two books bind</w:t>
      </w:r>
      <w:r>
        <w:t xml:space="preserve"> </w:t>
      </w:r>
      <w:r>
        <w:t xml:space="preserve">it by their own control-closure statements: Vol I Book 03 supplies the</w:t>
      </w:r>
      <w:r>
        <w:t xml:space="preserve"> </w:t>
      </w:r>
      <w:r>
        <w:t xml:space="preserve">credential layer (IA-5(2), SC-12/SC-17 — certificates, tokens, and</w:t>
      </w:r>
      <w:r>
        <w:t xml:space="preserve"> </w:t>
      </w:r>
      <w:r>
        <w:t xml:space="preserve">phishing-resistant MFA), and Vol I Book 04 supplies the lifecycle source of</w:t>
      </w:r>
      <w:r>
        <w:t xml:space="preserve"> </w:t>
      </w:r>
      <w:r>
        <w:t xml:space="preserve">truth (AC-2, PS-4/PS-5, IA-4 — HR-driven joiner/mover/leaver). The remaining</w:t>
      </w:r>
      <w:r>
        <w:t xml:space="preserve"> </w:t>
      </w:r>
      <w:r>
        <w:t xml:space="preserve">books apply that identity: Entra/ZTNA modernization, database authentication,</w:t>
      </w:r>
      <w:r>
        <w:t xml:space="preserve"> </w:t>
      </w:r>
      <w:r>
        <w:t xml:space="preserve">and the elimination of standing privilege.</w:t>
      </w:r>
    </w:p>
    <w:p>
      <w:pPr>
        <w:pStyle w:val="BlockText"/>
      </w:pPr>
      <w:r>
        <w:rPr>
          <w:b/>
          <w:bCs/>
        </w:rPr>
        <w:t xml:space="preserve">Closure Necessity — IA-2 cannot be closed by a scanner.</w:t>
      </w:r>
      <w:r>
        <w:t xml:space="preserve"> </w:t>
      </w:r>
      <w:r>
        <w:t xml:space="preserve">IA-2 requires the</w:t>
      </w:r>
      <w:r>
        <w:t xml:space="preserve"> </w:t>
      </w:r>
      <w:r>
        <w:t xml:space="preserve">system to uniquely identify and authenticate organizational users. A scanner</w:t>
      </w:r>
      <w:r>
        <w:t xml:space="preserve"> </w:t>
      </w:r>
      <w:r>
        <w:t xml:space="preserve">can report that MFA</w:t>
      </w:r>
      <w:r>
        <w:t xml:space="preserve"> </w:t>
      </w:r>
      <w:r>
        <w:rPr>
          <w:i/>
          <w:iCs/>
        </w:rPr>
        <w:t xml:space="preserve">policy</w:t>
      </w:r>
      <w:r>
        <w:t xml:space="preserve"> </w:t>
      </w:r>
      <w:r>
        <w:t xml:space="preserve">exists; it cannot produce the sign-in evidence</w:t>
      </w:r>
      <w:r>
        <w:t xml:space="preserve"> </w:t>
      </w:r>
      <w:r>
        <w:t xml:space="preserve">that a specific authentication was phishing-resistant and risk-evaluated. Only</w:t>
      </w:r>
      <w:r>
        <w:t xml:space="preserve"> </w:t>
      </w:r>
      <w:r>
        <w:t xml:space="preserve">the identity provider that performed the authentication emits that record — so</w:t>
      </w:r>
      <w:r>
        <w:t xml:space="preserve"> </w:t>
      </w:r>
      <w:r>
        <w:t xml:space="preserve">the closure is bound to the IdP’s sign-in and risk logs, and the KSI-IAM rule</w:t>
      </w:r>
      <w:r>
        <w:t xml:space="preserve"> </w:t>
      </w:r>
      <w:r>
        <w:t xml:space="preserve">reads exactly those. No configuration export substitutes for the event.</w:t>
      </w:r>
    </w:p>
    <w:bookmarkEnd w:id="13"/>
    <w:bookmarkStart w:id="14" w:name="Xb5a34ecd1d1185e08f2bf85b8c8aff691a16ee3"/>
    <w:p>
      <w:pPr>
        <w:pStyle w:val="Heading1"/>
      </w:pPr>
      <w:r>
        <w:t xml:space="preserve">5. Module A2 — Addressing Control Plane (Slot 2)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01 (Agency Landing Zone, IPAM &amp; FedRAMP) — the Infoblox DDI</w:t>
      </w:r>
      <w:r>
        <w:t xml:space="preserve"> </w:t>
      </w:r>
      <w:r>
        <w:t xml:space="preserve">naming/addressing plane: IPAM, DNS, DHCP, PKI issuance.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CM-8, AC-4 anchors; Vol I Book 01 closes sixteen controls per the</w:t>
      </w:r>
      <w:r>
        <w:t xml:space="preserve"> </w:t>
      </w:r>
      <w:r>
        <w:t xml:space="preserve">gap roadmap.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KSI-PIY</w:t>
      </w:r>
      <w:r>
        <w:t xml:space="preserve"> </w:t>
      </w:r>
      <w:r>
        <w:t xml:space="preserve">(addressing/inventory evidence).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produce the address-inventory evidence statement — what the DDI</w:t>
      </w:r>
      <w:r>
        <w:t xml:space="preserve"> </w:t>
      </w:r>
      <w:r>
        <w:t xml:space="preserve">platform attests (authoritative IPAM inventory), which CM-8 requirements that</w:t>
      </w:r>
      <w:r>
        <w:t xml:space="preserve"> </w:t>
      </w:r>
      <w:r>
        <w:t xml:space="preserve">satisfies, and where the evidence lands in the slot-02 mapping.</w:t>
      </w:r>
    </w:p>
    <w:p>
      <w:pPr>
        <w:pStyle w:val="FirstParagraph"/>
      </w:pPr>
      <w:r>
        <w:t xml:space="preserve">Slot 2 is the join key for the whole program. The naming/addressing plane is the</w:t>
      </w:r>
      <w:r>
        <w:t xml:space="preserve"> </w:t>
      </w:r>
      <w:r>
        <w:t xml:space="preserve">one plane every component must touch to function at all, so it is the only</w:t>
      </w:r>
      <w:r>
        <w:t xml:space="preserve"> </w:t>
      </w:r>
      <w:r>
        <w:t xml:space="preserve">authoritative CM-8 inventory — the correlation anchor the Multi-Cloud Evidence</w:t>
      </w:r>
      <w:r>
        <w:t xml:space="preserve"> </w:t>
      </w:r>
      <w:r>
        <w:t xml:space="preserve">Fabric (Vol III Book 07) later reconciles five management stacks against. Vol I</w:t>
      </w:r>
      <w:r>
        <w:t xml:space="preserve"> </w:t>
      </w:r>
      <w:r>
        <w:t xml:space="preserve">Book 02 (Network Access Control) feeds this slot the device-identity-at-the-port</w:t>
      </w:r>
      <w:r>
        <w:t xml:space="preserve"> </w:t>
      </w:r>
      <w:r>
        <w:t xml:space="preserve">surface (IA-3, CM-8); its formal slot binding is pending the adapter mapping</w:t>
      </w:r>
      <w:r>
        <w:t xml:space="preserve"> </w:t>
      </w:r>
      <w:r>
        <w:t xml:space="preserve">refresh, so teach it as the enumeration-completeness argument, not yet as a</w:t>
      </w:r>
      <w:r>
        <w:t xml:space="preserve"> </w:t>
      </w:r>
      <w:r>
        <w:t xml:space="preserve">bound evidence source.</w:t>
      </w:r>
    </w:p>
    <w:bookmarkEnd w:id="14"/>
    <w:bookmarkStart w:id="15" w:name="module-a3-network-control-plane-slot-3"/>
    <w:p>
      <w:pPr>
        <w:pStyle w:val="Heading1"/>
      </w:pPr>
      <w:r>
        <w:t xml:space="preserve">6. Module A3 — Network Control Plane (Slot 3)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05 (Network Modernization — SD-WAN, SASE, UC), Vol I</w:t>
      </w:r>
      <w:r>
        <w:t xml:space="preserve"> </w:t>
      </w:r>
      <w:r>
        <w:t xml:space="preserve">Book 06 (Federal Telecommunications Modernization — TIC 3.0), Vol I Book 07</w:t>
      </w:r>
      <w:r>
        <w:t xml:space="preserve"> </w:t>
      </w:r>
      <w:r>
        <w:t xml:space="preserve">(Network Enforcement Substrate — the customer-owned edge), and Vol II Book 03</w:t>
      </w:r>
      <w:r>
        <w:t xml:space="preserve"> </w:t>
      </w:r>
      <w:r>
        <w:t xml:space="preserve">(Database Consolidation &amp; Network Physics).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SC-8, SC-7, CA-7 anchors; SC/SI depth from Vol II Book 03.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KSI-CNA</w:t>
      </w:r>
      <w:r>
        <w:t xml:space="preserve"> </w:t>
      </w:r>
      <w:r>
        <w:t xml:space="preserve">(network architecture evidence).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map one application-aware path policy (SD-WAN/SASE) to SC-8</w:t>
      </w:r>
      <w:r>
        <w:t xml:space="preserve"> </w:t>
      </w:r>
      <w:r>
        <w:t xml:space="preserve">transmission protection and show which continuous-monitoring signal (CA-7)</w:t>
      </w:r>
      <w:r>
        <w:t xml:space="preserve"> </w:t>
      </w:r>
      <w:r>
        <w:t xml:space="preserve">proves it stays enforced.</w:t>
      </w:r>
    </w:p>
    <w:p>
      <w:pPr>
        <w:pStyle w:val="FirstParagraph"/>
      </w:pPr>
      <w:r>
        <w:t xml:space="preserve">Slot 3 is where the series’ hardest doctrine lives:</w:t>
      </w:r>
      <w:r>
        <w:t xml:space="preserve"> </w:t>
      </w:r>
      <w:r>
        <w:rPr>
          <w:b/>
          <w:bCs/>
        </w:rPr>
        <w:t xml:space="preserve">DIA fixes nothing</w:t>
      </w:r>
      <w:r>
        <w:t xml:space="preserve"> </w:t>
      </w:r>
      <w:r>
        <w:t xml:space="preserve">(Vol 0</w:t>
      </w:r>
      <w:r>
        <w:t xml:space="preserve"> </w:t>
      </w:r>
      <w:r>
        <w:t xml:space="preserve">Book 00, Theme B). A bare internet circuit satisfies zero controls; every</w:t>
      </w:r>
      <w:r>
        <w:t xml:space="preserve"> </w:t>
      </w:r>
      <w:r>
        <w:t xml:space="preserve">control claimed near it — SC-7, SC-8, AC-4, SI-4, CA-7 — is closed by the</w:t>
      </w:r>
      <w:r>
        <w:t xml:space="preserve"> </w:t>
      </w:r>
      <w:r>
        <w:t xml:space="preserve">SD-WAN/SASE/TIC 3.0 stack that governs the pipe, never by the pipe. Vol I</w:t>
      </w:r>
      <w:r>
        <w:t xml:space="preserve"> </w:t>
      </w:r>
      <w:r>
        <w:t xml:space="preserve">Book 07 is the customer-owned half of SC-7/SC-8 that no CSP’s FedRAMP</w:t>
      </w:r>
      <w:r>
        <w:t xml:space="preserve"> </w:t>
      </w:r>
      <w:r>
        <w:t xml:space="preserve">authorization covers — the branch firewall and WAN edge the agency accredits</w:t>
      </w:r>
      <w:r>
        <w:t xml:space="preserve"> </w:t>
      </w:r>
      <w:r>
        <w:t xml:space="preserve">through NIAP / DISA STIG / FIPS 140-3 / DoDIN APL (Theme F). Teach slot 3 as the</w:t>
      </w:r>
      <w:r>
        <w:t xml:space="preserve"> </w:t>
      </w:r>
      <w:r>
        <w:t xml:space="preserve">proof that transport policy is a control surface and the pipe is not.</w:t>
      </w:r>
    </w:p>
    <w:bookmarkEnd w:id="15"/>
    <w:bookmarkStart w:id="16" w:name="module-a4-telemetry-control-plane-slot-4"/>
    <w:p>
      <w:pPr>
        <w:pStyle w:val="Heading1"/>
      </w:pPr>
      <w:r>
        <w:t xml:space="preserve">7. Module A4 — Telemetry Control Plane (Slot 4)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02 (Vulnerability Management — Defender VM + KEV),</w:t>
      </w:r>
      <w:r>
        <w:t xml:space="preserve"> </w:t>
      </w:r>
      <w:r>
        <w:t xml:space="preserve">Vol III Book 05 (Data Protection — Purview + Key Vault CMK), Vol III Book 06</w:t>
      </w:r>
      <w:r>
        <w:t xml:space="preserve"> </w:t>
      </w:r>
      <w:r>
        <w:t xml:space="preserve">(SIEM / XDR Detection — Sentinel), and Vol III Book 07 (Multi-Cloud Evidence</w:t>
      </w:r>
      <w:r>
        <w:t xml:space="preserve"> </w:t>
      </w:r>
      <w:r>
        <w:t xml:space="preserve">Fabric — the correlated evidence lake).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CA-7, SI-4 anchors; the RA-5 family, SI-2, AU-6/7/8/11,</w:t>
      </w:r>
      <w:r>
        <w:t xml:space="preserve"> </w:t>
      </w:r>
      <w:r>
        <w:t xml:space="preserve">IR-4/6/8.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KSI-MLA</w:t>
      </w:r>
      <w:r>
        <w:t xml:space="preserve"> </w:t>
      </w:r>
      <w:r>
        <w:t xml:space="preserve">(monitoring / logging / audit evidence).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pick one KEV-listed CVE scenario and trace — Defender VM</w:t>
      </w:r>
      <w:r>
        <w:t xml:space="preserve"> </w:t>
      </w:r>
      <w:r>
        <w:t xml:space="preserve">finding (Vol III Book 02) → Sentinel analytic + incident (Vol III Book 06) →</w:t>
      </w:r>
      <w:r>
        <w:t xml:space="preserve"> </w:t>
      </w:r>
      <w:r>
        <w:t xml:space="preserve">the SI-4 / RA-5 closure statement, with the audit-retention argument from</w:t>
      </w:r>
      <w:r>
        <w:t xml:space="preserve"> </w:t>
      </w:r>
      <w:r>
        <w:t xml:space="preserve">AU-11.</w:t>
      </w:r>
    </w:p>
    <w:p>
      <w:pPr>
        <w:pStyle w:val="FirstParagraph"/>
      </w:pPr>
      <w:r>
        <w:t xml:space="preserve">Slot 4 is the telemetry spine, and Vol III Book 07 is what makes it evaluable</w:t>
      </w:r>
      <w:r>
        <w:t xml:space="preserve"> </w:t>
      </w:r>
      <w:r>
        <w:t xml:space="preserve">across a genuinely multi-cloud estate: five native stacks actuate, but their</w:t>
      </w:r>
      <w:r>
        <w:t xml:space="preserve"> </w:t>
      </w:r>
      <w:r>
        <w:t xml:space="preserve">records join one machine-readable evidence lake that flows to CISA CDM and the</w:t>
      </w:r>
      <w:r>
        <w:t xml:space="preserve"> </w:t>
      </w:r>
      <w:r>
        <w:t xml:space="preserve">KSI pipeline. The assessor’s skill here is following a single finding across the</w:t>
      </w:r>
      <w:r>
        <w:t xml:space="preserve"> </w:t>
      </w:r>
      <w:r>
        <w:t xml:space="preserve">seam from actuation to correlated evidence.</w:t>
      </w:r>
    </w:p>
    <w:bookmarkEnd w:id="16"/>
    <w:bookmarkStart w:id="17" w:name="module-a5-endpoint-control-plane-slot-5"/>
    <w:p>
      <w:pPr>
        <w:pStyle w:val="Heading1"/>
      </w:pPr>
      <w:r>
        <w:t xml:space="preserve">8. Module A5 — Endpoint Control Plane (Slot 5)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 Book 02 (NAC — device identity at the port), Vol III Book 01</w:t>
      </w:r>
      <w:r>
        <w:t xml:space="preserve"> </w:t>
      </w:r>
      <w:r>
        <w:t xml:space="preserve">(PAW sections), Vol III Book 03 (Patch &amp; Systems Management), Vol III Book 04</w:t>
      </w:r>
      <w:r>
        <w:t xml:space="preserve"> </w:t>
      </w:r>
      <w:r>
        <w:t xml:space="preserve">(Cloud-Native Security Posture), and Vol IV Book 04 (PII Processing &amp;</w:t>
      </w:r>
      <w:r>
        <w:t xml:space="preserve"> </w:t>
      </w:r>
      <w:r>
        <w:t xml:space="preserve">Transparency).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CM-8, IA-3 anchors; SI-2 (remediation) from Vol III Book 03;</w:t>
      </w:r>
      <w:r>
        <w:t xml:space="preserve"> </w:t>
      </w:r>
      <w:r>
        <w:t xml:space="preserve">CSPM/CNAPP exposure from Vol III Book 04; PT-family entry points from Vol IV</w:t>
      </w:r>
      <w:r>
        <w:t xml:space="preserve"> </w:t>
      </w:r>
      <w:r>
        <w:t xml:space="preserve">Book 04.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KSI-PIY</w:t>
      </w:r>
      <w:r>
        <w:t xml:space="preserve"> </w:t>
      </w:r>
      <w:r>
        <w:t xml:space="preserve">(endpoint inventory evidence).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write the endpoint-inventory evidence statement covering device</w:t>
      </w:r>
      <w:r>
        <w:t xml:space="preserve"> </w:t>
      </w:r>
      <w:r>
        <w:t xml:space="preserve">identity (IA-3), inventory completeness (CM-8), remediation actuation (SI-2),</w:t>
      </w:r>
      <w:r>
        <w:t xml:space="preserve"> </w:t>
      </w:r>
      <w:r>
        <w:t xml:space="preserve">and where PII-handling endpoints get the Vol IV Book 04 transparency treatment.</w:t>
      </w:r>
    </w:p>
    <w:p>
      <w:pPr>
        <w:pStyle w:val="FirstParagraph"/>
      </w:pPr>
      <w:r>
        <w:t xml:space="preserve">Slot 5 is the</w:t>
      </w:r>
      <w:r>
        <w:t xml:space="preserve"> </w:t>
      </w:r>
      <w:r>
        <w:rPr>
          <w:i/>
          <w:iCs/>
        </w:rPr>
        <w:t xml:space="preserve">close-it</w:t>
      </w:r>
      <w:r>
        <w:t xml:space="preserve"> </w:t>
      </w:r>
      <w:r>
        <w:t xml:space="preserve">counterpart to slot 4’s</w:t>
      </w:r>
      <w:r>
        <w:t xml:space="preserve"> </w:t>
      </w:r>
      <w:r>
        <w:rPr>
          <w:i/>
          <w:iCs/>
        </w:rPr>
        <w:t xml:space="preserve">scan-it</w:t>
      </w:r>
      <w:r>
        <w:t xml:space="preserve">: Vol III Book 02</w:t>
      </w:r>
      <w:r>
        <w:t xml:space="preserve"> </w:t>
      </w:r>
      <w:r>
        <w:t xml:space="preserve">assesses and prioritizes (RA-5), Vol III Book 03 remediates across the CSP × OS</w:t>
      </w:r>
      <w:r>
        <w:t xml:space="preserve"> </w:t>
      </w:r>
      <w:r>
        <w:t xml:space="preserve">matrix (SI-2), and Vol III Book 04 covers the container and posture surface the</w:t>
      </w:r>
      <w:r>
        <w:t xml:space="preserve"> </w:t>
      </w:r>
      <w:r>
        <w:t xml:space="preserve">OS-level view misses. The endpoint inventory is only authoritative when it</w:t>
      </w:r>
      <w:r>
        <w:t xml:space="preserve"> </w:t>
      </w:r>
      <w:r>
        <w:t xml:space="preserve">enumerates managed and unmanaged devices alike — the enumeration-completeness</w:t>
      </w:r>
      <w:r>
        <w:t xml:space="preserve"> </w:t>
      </w:r>
      <w:r>
        <w:t xml:space="preserve">argument that ties back to the slot-2 addressing plane.</w:t>
      </w:r>
    </w:p>
    <w:bookmarkEnd w:id="17"/>
    <w:bookmarkStart w:id="18" w:name="X0085c5531c42095aecc208d54e1e4c719fb0297"/>
    <w:p>
      <w:pPr>
        <w:pStyle w:val="Heading1"/>
      </w:pPr>
      <w:r>
        <w:t xml:space="preserve">9. Module A6 — Security Configuration &amp; Change Control Plane (Slot 6)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III Book 04 (secure configuration / posture surface), Vol III</w:t>
      </w:r>
      <w:r>
        <w:t xml:space="preserve"> </w:t>
      </w:r>
      <w:r>
        <w:t xml:space="preserve">Book 06 (detection as change evidence), Vol IV Book 02 (Supply Chain Risk</w:t>
      </w:r>
      <w:r>
        <w:t xml:space="preserve"> </w:t>
      </w:r>
      <w:r>
        <w:t xml:space="preserve">Management), and Vol IV Book 03 (Program Management &amp; Governance).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CM-2, AC-4 anchors; SR-1/2/3/5/6/8/10/11 from Vol IV Book 02;</w:t>
      </w:r>
      <w:r>
        <w:t xml:space="preserve"> </w:t>
      </w:r>
      <w:r>
        <w:t xml:space="preserve">the PM family from Vol IV Book 03.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KSI-CMT</w:t>
      </w:r>
      <w:r>
        <w:t xml:space="preserve"> </w:t>
      </w:r>
      <w:r>
        <w:t xml:space="preserve">(configuration / change-management evidence);</w:t>
      </w:r>
      <w:r>
        <w:t xml:space="preserve"> </w:t>
      </w:r>
      <w:r>
        <w:t xml:space="preserve">KSI-011–014 were activated by the Vol IV Book 02 SBOM/VDR/VER evidence</w:t>
      </w:r>
      <w:r>
        <w:t xml:space="preserve"> </w:t>
      </w:r>
      <w:r>
        <w:t xml:space="preserve">contract — the BOD 26-04 VDR/VER in-force date (December 7, 2026) remains the</w:t>
      </w:r>
      <w:r>
        <w:t xml:space="preserve"> </w:t>
      </w:r>
      <w:r>
        <w:t xml:space="preserve">operational cadence Vol IV Book 06 runs.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state the Vol IV Book 02 SBOM evidence-contract story — which</w:t>
      </w:r>
      <w:r>
        <w:t xml:space="preserve"> </w:t>
      </w:r>
      <w:r>
        <w:t xml:space="preserve">SBOM artifacts Vol IV Book 02 requires, which KSI rules they activated, and how the Vol IV</w:t>
      </w:r>
      <w:r>
        <w:t xml:space="preserve"> </w:t>
      </w:r>
      <w:r>
        <w:t xml:space="preserve">Book 06 ConMon calendar keeps that evidence fresh.</w:t>
      </w:r>
    </w:p>
    <w:p>
      <w:pPr>
        <w:pStyle w:val="FirstParagraph"/>
      </w:pPr>
      <w:r>
        <w:t xml:space="preserve">Slot 6 is where configuration truth and supply-chain provenance meet governance.</w:t>
      </w:r>
      <w:r>
        <w:t xml:space="preserve"> </w:t>
      </w:r>
      <w:r>
        <w:t xml:space="preserve">The SBOM/VDR/VER contract is the concrete artifact chain (Syft → Grype → OpenVEX);</w:t>
      </w:r>
      <w:r>
        <w:t xml:space="preserve"> </w:t>
      </w:r>
      <w:r>
        <w:t xml:space="preserve">the PM family is the charter that makes the whole program auditable. Teach the</w:t>
      </w:r>
      <w:r>
        <w:t xml:space="preserve"> </w:t>
      </w:r>
      <w:r>
        <w:t xml:space="preserve">BOD 26-04 clock as the forcing function that turned KSI-011–014 from scaffold</w:t>
      </w:r>
      <w:r>
        <w:t xml:space="preserve"> </w:t>
      </w:r>
      <w:r>
        <w:t xml:space="preserve">into evaluable rules.</w:t>
      </w:r>
    </w:p>
    <w:bookmarkEnd w:id="18"/>
    <w:bookmarkStart w:id="19" w:name="X1513c84e9d3a249132934521b6aa22b450896d8"/>
    <w:p>
      <w:pPr>
        <w:pStyle w:val="Heading1"/>
      </w:pPr>
      <w:r>
        <w:t xml:space="preserve">10. Module A7 — Continuity Control Plane (Slot 7)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01 (Business Continuity).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CP-2 (+3 enhancements), CP-3, CP-4 (+1), CP-6, CP-7 (+3),</w:t>
      </w:r>
      <w:r>
        <w:t xml:space="preserve"> </w:t>
      </w:r>
      <w:r>
        <w:t xml:space="preserve">CP-8 (+2).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KSI-RPL</w:t>
      </w:r>
      <w:r>
        <w:t xml:space="preserve"> </w:t>
      </w:r>
      <w:r>
        <w:t xml:space="preserve">(recovery / resilience evidence).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map one contingency-test exercise to CP-4 and show the slot-07</w:t>
      </w:r>
      <w:r>
        <w:t xml:space="preserve"> </w:t>
      </w:r>
      <w:r>
        <w:t xml:space="preserve">continuity binding that carries it into the KSI evaluation. A tabletop</w:t>
      </w:r>
      <w:r>
        <w:t xml:space="preserve"> </w:t>
      </w:r>
      <w:r>
        <w:t xml:space="preserve">after-action report with findings and named owners is the evidence; a</w:t>
      </w:r>
      <w:r>
        <w:t xml:space="preserve"> </w:t>
      </w:r>
      <w:r>
        <w:t xml:space="preserve">zero-finding report is not evidence of resilience, it is evidence the test was</w:t>
      </w:r>
      <w:r>
        <w:t xml:space="preserve"> </w:t>
      </w:r>
      <w:r>
        <w:t xml:space="preserve">not real.</w:t>
      </w:r>
    </w:p>
    <w:p>
      <w:pPr>
        <w:pStyle w:val="FirstParagraph"/>
      </w:pPr>
      <w:r>
        <w:t xml:space="preserve">Slot 7 is the smallest by book count and the easiest to fake. The discipline the</w:t>
      </w:r>
      <w:r>
        <w:t xml:space="preserve"> </w:t>
      </w:r>
      <w:r>
        <w:t xml:space="preserve">module teaches is that continuity evidence is the</w:t>
      </w:r>
      <w:r>
        <w:t xml:space="preserve"> </w:t>
      </w:r>
      <w:r>
        <w:rPr>
          <w:i/>
          <w:iCs/>
        </w:rPr>
        <w:t xml:space="preserve">test result</w:t>
      </w:r>
      <w:r>
        <w:t xml:space="preserve">, not the plan —</w:t>
      </w:r>
      <w:r>
        <w:t xml:space="preserve"> </w:t>
      </w:r>
      <w:r>
        <w:t xml:space="preserve">CP-4 closure is a contingency exercise that produced findings, bound to slot-07,</w:t>
      </w:r>
      <w:r>
        <w:t xml:space="preserve"> </w:t>
      </w:r>
      <w:r>
        <w:t xml:space="preserve">not a CP-2 document that asserts a capability.</w:t>
      </w:r>
    </w:p>
    <w:bookmarkEnd w:id="19"/>
    <w:bookmarkStart w:id="20" w:name="module-a8-training-control-plane-slot-8"/>
    <w:p>
      <w:pPr>
        <w:pStyle w:val="Heading1"/>
      </w:pPr>
      <w:r>
        <w:t xml:space="preserve">11. Module A8 — Training Control Plane (Slot 8)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Read:</w:t>
      </w:r>
      <w:r>
        <w:t xml:space="preserve"> </w:t>
      </w:r>
      <w:r>
        <w:t xml:space="preserve">Vol IV Book 05 (Cybersecurity Training &amp; Awareness). Vol IV Book 06’s</w:t>
      </w:r>
      <w:r>
        <w:t xml:space="preserve"> </w:t>
      </w:r>
      <w:r>
        <w:t xml:space="preserve">freshness rules and ConMon calendar are the operating context.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Controls:</w:t>
      </w:r>
      <w:r>
        <w:t xml:space="preserve"> </w:t>
      </w:r>
      <w:r>
        <w:t xml:space="preserve">AT-2 (+1, +2), AT-3 (+3, +5), AT-4, CP-3, IR-2; SA-16 for</w:t>
      </w:r>
      <w:r>
        <w:t xml:space="preserve"> </w:t>
      </w:r>
      <w:r>
        <w:t xml:space="preserve">secure-delivery training.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Evaluate:</w:t>
      </w:r>
      <w:r>
        <w:t xml:space="preserve"> </w:t>
      </w:r>
      <w:r>
        <w:rPr>
          <w:b/>
          <w:bCs/>
        </w:rPr>
        <w:t xml:space="preserve">KSI-CED</w:t>
      </w:r>
      <w:r>
        <w:t xml:space="preserve"> </w:t>
      </w:r>
      <w:r>
        <w:t xml:space="preserve">— KSI-CED-RAT (KSI-022), the last CR26 rule to</w:t>
      </w:r>
      <w:r>
        <w:t xml:space="preserve"> </w:t>
      </w:r>
      <w:r>
        <w:t xml:space="preserve">activate; evidence source: the machine-readable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JSON exported monthly from the LMS.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Checkpoint:</w:t>
      </w:r>
      <w:r>
        <w:t xml:space="preserve"> </w:t>
      </w:r>
      <w:r>
        <w:t xml:space="preserve">trace one role tier through the four training dimensions — the</w:t>
      </w:r>
      <w:r>
        <w:t xml:space="preserve"> </w:t>
      </w:r>
      <w:r>
        <w:t xml:space="preserve">AT-3 matrix row → the completion thresholds (≥95%) → the JSON record fields</w:t>
      </w:r>
      <w:r>
        <w:t xml:space="preserve"> </w:t>
      </w:r>
      <w:r>
        <w:t xml:space="preserve">that carry it → the KSI-022 PASS logic.</w:t>
      </w:r>
    </w:p>
    <w:p>
      <w:pPr>
        <w:pStyle w:val="FirstParagraph"/>
      </w:pPr>
      <w:r>
        <w:t xml:space="preserve">Slot 8 is the slot Volume V both teaches and</w:t>
      </w:r>
      <w:r>
        <w:t xml:space="preserve"> </w:t>
      </w:r>
      <w:r>
        <w:rPr>
          <w:i/>
          <w:iCs/>
        </w:rPr>
        <w:t xml:space="preserve">is</w:t>
      </w:r>
      <w:r>
        <w:t xml:space="preserve">: this compliance track and its</w:t>
      </w:r>
      <w:r>
        <w:t xml:space="preserve"> </w:t>
      </w:r>
      <w:r>
        <w:t xml:space="preserve">implementation counterpart are the training program whose completion record</w:t>
      </w:r>
      <w:r>
        <w:t xml:space="preserve"> </w:t>
      </w:r>
      <w:r>
        <w:t xml:space="preserve">closes AT-2/AT-3 and evaluates KSI-CED. The module’s discipline is that the</w:t>
      </w:r>
      <w:r>
        <w:t xml:space="preserve"> </w:t>
      </w:r>
      <w:r>
        <w:t xml:space="preserve">evidence is per-identity and machine-readable — aggregate completion statistics</w:t>
      </w:r>
      <w:r>
        <w:t xml:space="preserve"> </w:t>
      </w:r>
      <w:r>
        <w:t xml:space="preserve">do not satisfy KSI-022; the record must carry per-role, per-identity results with</w:t>
      </w:r>
      <w:r>
        <w:t xml:space="preserve"> </w:t>
      </w:r>
      <w:r>
        <w:t xml:space="preserve">dates inside the freshness window.</w:t>
      </w:r>
    </w:p>
    <w:bookmarkEnd w:id="20"/>
    <w:bookmarkStart w:id="21" w:name="the-capstone-the-eight-slot-walk"/>
    <w:p>
      <w:pPr>
        <w:pStyle w:val="Heading1"/>
      </w:pPr>
      <w:r>
        <w:t xml:space="preserve">12. The Capstone — the Eight-Slot Walk</w:t>
      </w:r>
    </w:p>
    <w:p>
      <w:pPr>
        <w:pStyle w:val="FirstParagraph"/>
      </w:pPr>
      <w:r>
        <w:t xml:space="preserve">Produce a single document (or an annotated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export) that, for</w:t>
      </w:r>
      <w:r>
        <w:t xml:space="preserve"> </w:t>
      </w:r>
      <w:r>
        <w:rPr>
          <w:b/>
          <w:bCs/>
        </w:rPr>
        <w:t xml:space="preserve">all eight slots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names the feeding books by volume coordinate,</w:t>
      </w:r>
    </w:p>
    <w:p>
      <w:pPr>
        <w:pStyle w:val="Compact"/>
        <w:numPr>
          <w:ilvl w:val="0"/>
          <w:numId w:val="1011"/>
        </w:numPr>
      </w:pPr>
      <w:r>
        <w:t xml:space="preserve">lists the anchor controls and the closure status,</w:t>
      </w:r>
    </w:p>
    <w:p>
      <w:pPr>
        <w:pStyle w:val="Compact"/>
        <w:numPr>
          <w:ilvl w:val="0"/>
          <w:numId w:val="1011"/>
        </w:numPr>
      </w:pPr>
      <w:r>
        <w:t xml:space="preserve">shows the per-KSI verdict (satisfied / not-satisfied / not-evaluated) from a</w:t>
      </w:r>
      <w:r>
        <w:t xml:space="preserve"> </w:t>
      </w:r>
      <w:r>
        <w:t xml:space="preserve">real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run, and</w:t>
      </w:r>
    </w:p>
    <w:p>
      <w:pPr>
        <w:pStyle w:val="Compact"/>
        <w:numPr>
          <w:ilvl w:val="0"/>
          <w:numId w:val="1011"/>
        </w:numPr>
      </w:pPr>
      <w:r>
        <w:t xml:space="preserve">states the gap and its deadline for anything not-evaluated or stale (Vol IV</w:t>
      </w:r>
      <w:r>
        <w:t xml:space="preserve"> </w:t>
      </w:r>
      <w:r>
        <w:t xml:space="preserve">Book 06 defines per-slot evidence freshness rules).</w:t>
      </w:r>
    </w:p>
    <w:p>
      <w:pPr>
        <w:pStyle w:val="FirstParagraph"/>
      </w:pPr>
      <w:r>
        <w:t xml:space="preserve">That document is the Track A completion artifact — it is, deliberately, the</w:t>
      </w:r>
      <w:r>
        <w:t xml:space="preserve"> </w:t>
      </w:r>
      <w:r>
        <w:t xml:space="preserve">skeleton of a ConMon narrative an assessor could read. Score it against Vol V</w:t>
      </w:r>
      <w:r>
        <w:t xml:space="preserve"> </w:t>
      </w:r>
      <w:r>
        <w:t xml:space="preserve">Book 03 (Assessment, Rubrics &amp; Certification): a pass is every slot at level 2 or</w:t>
      </w:r>
      <w:r>
        <w:t xml:space="preserve"> </w:t>
      </w:r>
      <w:r>
        <w:t xml:space="preserve">higher, with at least three slots assessor-ready (level 3).</w:t>
      </w:r>
    </w:p>
    <w:bookmarkEnd w:id="21"/>
    <w:bookmarkStart w:id="22" w:name="Xa7f15d5d9a1e276fa908a8d3cd58ba4c7455204"/>
    <w:p>
      <w:pPr>
        <w:pStyle w:val="Heading1"/>
      </w:pPr>
      <w:r>
        <w:t xml:space="preserve">13. The Eight Evidence Slots — Controls and KSIs</w:t>
      </w:r>
    </w:p>
    <w:p>
      <w:pPr>
        <w:pStyle w:val="FirstParagraph"/>
      </w:pPr>
      <w:r>
        <w:t xml:space="preserve">The reference map for the track.</w:t>
      </w:r>
      <w:r>
        <w:t xml:space="preserve"> </w:t>
      </w:r>
      <w:r>
        <w:t xml:space="preserve">“Feeding books”</w:t>
      </w:r>
      <w:r>
        <w:t xml:space="preserve"> </w:t>
      </w:r>
      <w:r>
        <w:t xml:space="preserve">are volume coordinates; the KSI</w:t>
      </w:r>
      <w:r>
        <w:t xml:space="preserve"> </w:t>
      </w:r>
      <w:r>
        <w:t xml:space="preserve">category is the rule family the OSCAL emitter scores; the last column is the</w:t>
      </w:r>
      <w:r>
        <w:t xml:space="preserve"> </w:t>
      </w:r>
      <w:r>
        <w:t xml:space="preserve">Theme E split — whether ScuBA-class tooling alone can attest the slot, or whether</w:t>
      </w:r>
      <w:r>
        <w:t xml:space="preserve"> </w:t>
      </w:r>
      <w:r>
        <w:t xml:space="preserve">it depends on architecture a workforce built. The column is reproducible: a slot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Partial</w:t>
      </w:r>
      <w:r>
        <w:t xml:space="preserve"> </w:t>
      </w:r>
      <w:r>
        <w:t xml:space="preserve">when it binds at least one ScuBA-attestable rule (KSI-001..010) and</w:t>
      </w:r>
      <w:r>
        <w:t xml:space="preserve"> </w:t>
      </w:r>
      <w:r>
        <w:rPr>
          <w:i/>
          <w:iCs/>
        </w:rPr>
        <w:t xml:space="preserve">No</w:t>
      </w:r>
      <w:r>
        <w:t xml:space="preserve"> </w:t>
      </w:r>
      <w:r>
        <w:t xml:space="preserve">when it binds none; no slot is fully tool-attestable, since every slot also</w:t>
      </w:r>
      <w:r>
        <w:t xml:space="preserve"> </w:t>
      </w:r>
      <w:r>
        <w:t xml:space="preserve">carries workforce-built evidence.</w:t>
      </w:r>
    </w:p>
    <w:p>
      <w:pPr>
        <w:pStyle w:val="TableCaption"/>
      </w:pPr>
      <w:r>
        <w:t xml:space="preserve">The eight evidence slots — feeding books, anchor controls, and KSI categories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eight evidence slots — feeding books, anchor controls, and KSI categories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Feeding books</w:t>
            </w:r>
          </w:p>
        </w:tc>
        <w:tc>
          <w:tcPr/>
          <w:p>
            <w:pPr>
              <w:pStyle w:val="Compact"/>
            </w:pPr>
            <w:r>
              <w:t xml:space="preserve">Anchor controls</w:t>
            </w:r>
          </w:p>
        </w:tc>
        <w:tc>
          <w:tcPr/>
          <w:p>
            <w:pPr>
              <w:pStyle w:val="Compact"/>
            </w:pPr>
            <w:r>
              <w:t xml:space="preserve">KSI category</w:t>
            </w:r>
          </w:p>
        </w:tc>
        <w:tc>
          <w:tcPr/>
          <w:p>
            <w:pPr>
              <w:pStyle w:val="Compact"/>
            </w:pPr>
            <w:r>
              <w:t xml:space="preserve">Tool-attestable alone?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  <w:r>
              <w:t xml:space="preserve">Vol I Bk 03/04/05 · Vol II Bk 01 · Vol III Bk 01</w:t>
            </w:r>
          </w:p>
        </w:tc>
        <w:tc>
          <w:tcPr/>
          <w:p>
            <w:pPr>
              <w:pStyle w:val="Compact"/>
            </w:pPr>
            <w:r>
              <w:t xml:space="preserve">IA-2, AC-2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Addressing</w:t>
            </w:r>
          </w:p>
        </w:tc>
        <w:tc>
          <w:tcPr/>
          <w:p>
            <w:pPr>
              <w:pStyle w:val="Compact"/>
            </w:pPr>
            <w:r>
              <w:t xml:space="preserve">Vol I Bk 01 (Bk 02 pending)</w:t>
            </w:r>
          </w:p>
        </w:tc>
        <w:tc>
          <w:tcPr/>
          <w:p>
            <w:pPr>
              <w:pStyle w:val="Compact"/>
            </w:pPr>
            <w:r>
              <w:t xml:space="preserve">CM-8, AC-4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Network</w:t>
            </w:r>
          </w:p>
        </w:tc>
        <w:tc>
          <w:tcPr/>
          <w:p>
            <w:pPr>
              <w:pStyle w:val="Compact"/>
            </w:pPr>
            <w:r>
              <w:t xml:space="preserve">Vol I Bk 05/06/07 · Vol II Bk 03</w:t>
            </w:r>
          </w:p>
        </w:tc>
        <w:tc>
          <w:tcPr/>
          <w:p>
            <w:pPr>
              <w:pStyle w:val="Compact"/>
            </w:pPr>
            <w:r>
              <w:t xml:space="preserve">SC-8, SC-7, CA-7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Telemetry</w:t>
            </w:r>
          </w:p>
        </w:tc>
        <w:tc>
          <w:tcPr/>
          <w:p>
            <w:pPr>
              <w:pStyle w:val="Compact"/>
            </w:pPr>
            <w:r>
              <w:t xml:space="preserve">Vol III Bk 02/05/06/07</w:t>
            </w:r>
          </w:p>
        </w:tc>
        <w:tc>
          <w:tcPr/>
          <w:p>
            <w:pPr>
              <w:pStyle w:val="Compact"/>
            </w:pPr>
            <w:r>
              <w:t xml:space="preserve">CA-7, SI-4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— Endpoint</w:t>
            </w:r>
          </w:p>
        </w:tc>
        <w:tc>
          <w:tcPr/>
          <w:p>
            <w:pPr>
              <w:pStyle w:val="Compact"/>
            </w:pPr>
            <w:r>
              <w:t xml:space="preserve">Vol I Bk 02 · Vol III Bk 01/03/04 · Vol IV Bk 04</w:t>
            </w:r>
          </w:p>
        </w:tc>
        <w:tc>
          <w:tcPr/>
          <w:p>
            <w:pPr>
              <w:pStyle w:val="Compact"/>
            </w:pPr>
            <w:r>
              <w:t xml:space="preserve">CM-8, IA-3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— Security / Change</w:t>
            </w:r>
          </w:p>
        </w:tc>
        <w:tc>
          <w:tcPr/>
          <w:p>
            <w:pPr>
              <w:pStyle w:val="Compact"/>
            </w:pPr>
            <w:r>
              <w:t xml:space="preserve">Vol III Bk 04/06 · Vol IV Bk 02/03</w:t>
            </w:r>
          </w:p>
        </w:tc>
        <w:tc>
          <w:tcPr/>
          <w:p>
            <w:pPr>
              <w:pStyle w:val="Compact"/>
            </w:pPr>
            <w:r>
              <w:t xml:space="preserve">CM-2, AC-4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 — Continuity</w:t>
            </w:r>
          </w:p>
        </w:tc>
        <w:tc>
          <w:tcPr/>
          <w:p>
            <w:pPr>
              <w:pStyle w:val="Compact"/>
            </w:pPr>
            <w:r>
              <w:t xml:space="preserve">Vol IV Bk 01</w:t>
            </w:r>
          </w:p>
        </w:tc>
        <w:tc>
          <w:tcPr/>
          <w:p>
            <w:pPr>
              <w:pStyle w:val="Compact"/>
            </w:pPr>
            <w:r>
              <w:t xml:space="preserve">CP-2, CP-4</w:t>
            </w:r>
          </w:p>
        </w:tc>
        <w:tc>
          <w:tcPr/>
          <w:p>
            <w:pPr>
              <w:pStyle w:val="Compact"/>
            </w:pPr>
            <w:r>
              <w:t xml:space="preserve">KSI-RPL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— Training</w:t>
            </w:r>
          </w:p>
        </w:tc>
        <w:tc>
          <w:tcPr/>
          <w:p>
            <w:pPr>
              <w:pStyle w:val="Compact"/>
            </w:pPr>
            <w:r>
              <w:t xml:space="preserve">Vol IV Bk 05 (Bk 06 context)</w:t>
            </w:r>
          </w:p>
        </w:tc>
        <w:tc>
          <w:tcPr/>
          <w:p>
            <w:pPr>
              <w:pStyle w:val="Compact"/>
            </w:pPr>
            <w:r>
              <w:t xml:space="preserve">AT-2, AT-3, AT-4</w:t>
            </w:r>
          </w:p>
        </w:tc>
        <w:tc>
          <w:tcPr/>
          <w:p>
            <w:pPr>
              <w:pStyle w:val="Compact"/>
            </w:pPr>
            <w:r>
              <w:t xml:space="preserve">KSI-CED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With slot 8 active, all 29 internal KSI-decomposition rules are evaluable. Ten are</w:t>
      </w:r>
      <w:r>
        <w:t xml:space="preserve"> </w:t>
      </w:r>
      <w:r>
        <w:t xml:space="preserve">attestable by the ScuBA adapter alone (KSI-001..010); the nineteen bound to the</w:t>
      </w:r>
      <w:r>
        <w:t xml:space="preserve"> </w:t>
      </w:r>
      <w:r>
        <w:t xml:space="preserve">slots above (KSI-011..029) are the coverage gap this track closes by producing</w:t>
      </w:r>
      <w:r>
        <w:t xml:space="preserve"> </w:t>
      </w:r>
      <w:r>
        <w:t xml:space="preserve">assessors who can trace their evidence — advisory pending formal PMO / AO review.</w:t>
      </w:r>
    </w:p>
    <w:bookmarkEnd w:id="22"/>
    <w:bookmarkStart w:id="23" w:name="series-context-vol-v-book-01"/>
    <w:p>
      <w:pPr>
        <w:pStyle w:val="Heading1"/>
      </w:pPr>
      <w:r>
        <w:t xml:space="preserve">14. Series Context — Vol V Book 01</w:t>
      </w:r>
    </w:p>
    <w:p>
      <w:pPr>
        <w:pStyle w:val="FirstParagraph"/>
      </w:pPr>
      <w:r>
        <w:t xml:space="preserve">The compliance track is the first of Volume V’s four content books and the one</w:t>
      </w:r>
      <w:r>
        <w:t xml:space="preserve"> </w:t>
      </w:r>
      <w:r>
        <w:t xml:space="preserve">that reads the series from the assessor’s chair. It depends on all of Volumes</w:t>
      </w:r>
      <w:r>
        <w:t xml:space="preserve"> </w:t>
      </w:r>
      <w:r>
        <w:t xml:space="preserve">I–IV — it cites their books as the evidence sources for the eight slots — and it</w:t>
      </w:r>
      <w:r>
        <w:t xml:space="preserve"> </w:t>
      </w:r>
      <w:r>
        <w:t xml:space="preserve">pairs with Vol V Book 02 (The Implementation Track), which builds those same</w:t>
      </w:r>
      <w:r>
        <w:t xml:space="preserve"> </w:t>
      </w:r>
      <w:r>
        <w:t xml:space="preserve">sources from the engineer’s chair and lands the artifacts this track scores.</w:t>
      </w:r>
      <w:r>
        <w:t xml:space="preserve"> </w:t>
      </w:r>
      <w:r>
        <w:t xml:space="preserve">Vol V Book 03 (Assessment, Rubrics &amp; Certification) grades the capstone this book</w:t>
      </w:r>
      <w:r>
        <w:t xml:space="preserve"> </w:t>
      </w:r>
      <w:r>
        <w:t xml:space="preserve">sets, and Vol V Book 04 (Vendor Training &amp; Lab Environments) supplies the</w:t>
      </w:r>
      <w:r>
        <w:t xml:space="preserve"> </w:t>
      </w:r>
      <w:r>
        <w:t xml:space="preserve">external skills. Read together, the track turns the corpus from a set of</w:t>
      </w:r>
      <w:r>
        <w:t xml:space="preserve"> </w:t>
      </w:r>
      <w:r>
        <w:t xml:space="preserve">documents into a workforce that can trace book → control → KSI → evidence for</w:t>
      </w:r>
      <w:r>
        <w:t xml:space="preserve"> </w:t>
      </w:r>
      <w:r>
        <w:t xml:space="preserve">every slot — which is itself the closure of the training control (AT-2/AT-3,</w:t>
      </w:r>
      <w:r>
        <w:t xml:space="preserve"> </w:t>
      </w:r>
      <w:r>
        <w:t xml:space="preserve">KSI-CED) the program’s own authorization package depends 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01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layer: it teaches Volumes 0–IV and produces the training evidence</w:t>
      </w:r>
      <w:r>
        <w:rPr>
          <w:i/>
          <w:iCs/>
        </w:rPr>
        <w:t xml:space="preserve"> </w:t>
      </w:r>
      <w:r>
        <w:rPr>
          <w:i/>
          <w:iCs/>
        </w:rPr>
        <w:t xml:space="preserve">that Vol IV Book 06 freezes into the OSCAL authorization bundle. This book is the</w:t>
      </w:r>
      <w:r>
        <w:rPr>
          <w:i/>
          <w:iCs/>
        </w:rPr>
        <w:t xml:space="preserve"> </w:t>
      </w:r>
      <w:r>
        <w:rPr>
          <w:i/>
          <w:iCs/>
        </w:rPr>
        <w:t xml:space="preserve">compliance track; Vol V Book 02 is its implementation counterpart. Control-closure</w:t>
      </w:r>
      <w:r>
        <w:rPr>
          <w:i/>
          <w:iCs/>
        </w:rPr>
        <w:t xml:space="preserve"> </w:t>
      </w:r>
      <w:r>
        <w:rPr>
          <w:i/>
          <w:iCs/>
        </w:rPr>
        <w:t xml:space="preserve">and KSI claims are self-assessed against the series’ internal KSI decomposition (modeled on</w:t>
      </w:r>
      <w:r>
        <w:rPr>
          <w:i/>
          <w:iCs/>
        </w:rPr>
        <w:t xml:space="preserve"> </w:t>
      </w:r>
      <w:r>
        <w:rPr>
          <w:i/>
          <w:iCs/>
        </w:rPr>
        <w:t xml:space="preserve">the FedRAMP 20x CR26 KSI schema), pending independent security control assessment</w:t>
      </w:r>
      <w:r>
        <w:rPr>
          <w:i/>
          <w:iCs/>
        </w:rPr>
        <w:t xml:space="preserve"> </w:t>
      </w:r>
      <w:r>
        <w:rPr>
          <w:i/>
          <w:iCs/>
        </w:rPr>
        <w:t xml:space="preserve">(SCA) and formal FedRAMP PMO / AO review.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 Book 01 — Federal Compliance — The Compliance Track</dc:title>
  <dc:creator>Federal Cloud Services</dc:creator>
  <cp:keywords/>
  <dcterms:created xsi:type="dcterms:W3CDTF">2026-10-19T10:10:26Z</dcterms:created>
  <dcterms:modified xsi:type="dcterms:W3CDTF">2026-10-19T10:10:26Z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2026-07-18 10:20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eight evidence slots taught as a FedRAMP 20x / NIST SP 800-53 Rev 5 curriculum — book → control → KSI → evidence</vt:lpwstr>
  </property>
  <property fmtid="{D5CDD505-2E9C-101B-9397-08002B2CF9AE}" pid="16" name="toc-title">
    <vt:lpwstr>Table of contents</vt:lpwstr>
  </property>
</Properties>
</file>