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Vol V Book 02 — Federal Compliance — The Implementation Track</w:t>
      </w:r>
    </w:p>
    <w:p>
      <w:pPr>
        <w:pStyle w:val="Subtitle"/>
      </w:pPr>
      <w:r>
        <w:t xml:space="preserve">Building the Volumes I–IV architectures and landing the evidence the compliance track scores — eight engineering modules, each ending in a bindable artifact</w:t>
      </w:r>
    </w:p>
    <w:p>
      <w:pPr>
        <w:pStyle w:val="Author"/>
      </w:pPr>
      <w:r>
        <w:t xml:space="preserve">Federal Cloud Services</w:t>
      </w:r>
    </w:p>
    <w:p>
      <w:pPr>
        <w:pStyle w:val="Date"/>
      </w:pPr>
      <w:r>
        <w:t xml:space="preserve">2026-07-18 10:20 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"1-2" \h \z \u</w:instrText>
            <w:fldChar w:fldCharType="separate"/>
            <w:fldChar w:fldCharType="end"/>
          </w:r>
        </w:p>
      </w:sdtContent>
    </w:sdt>
    <w:bookmarkStart w:id="9" w:name="draft-proposal-subject-to-review"/>
    <w:p>
      <w:pPr>
        <w:pStyle w:val="Heading2"/>
      </w:pPr>
      <w:r>
        <w:t xml:space="preserve">0.1 Draft Proposal — Subject to Review</w:t>
      </w:r>
    </w:p>
    <w:p>
      <w:pPr>
        <w:pStyle w:val="FirstParagraph"/>
      </w:pPr>
      <w:r>
        <w:t xml:space="preserve">This document is a</w:t>
      </w:r>
      <w:r>
        <w:t xml:space="preserve"> </w:t>
      </w:r>
      <w:r>
        <w:rPr>
          <w:b/>
          <w:bCs/>
        </w:rPr>
        <w:t xml:space="preserve">draft proposal</w:t>
      </w:r>
      <w:r>
        <w:t xml:space="preserve"> </w:t>
      </w:r>
      <w:r>
        <w:t xml:space="preserve">developed by the</w:t>
      </w:r>
      <w:r>
        <w:t xml:space="preserve"> </w:t>
      </w:r>
      <w:r>
        <w:rPr>
          <w:b/>
          <w:bCs/>
        </w:rPr>
        <w:t xml:space="preserve">CSI Team (Cloud Services Infrastructure)</w:t>
      </w:r>
      <w:r>
        <w:t xml:space="preserve">. It has not been reviewed or approved by the Agency CIO Office, the Office of Information Security (OIS), or organizational leadership.</w:t>
      </w:r>
    </w:p>
    <w:p>
      <w:pPr>
        <w:pStyle w:val="BodyText"/>
      </w:pPr>
      <w:r>
        <w:rPr>
          <w:b/>
          <w:bCs/>
        </w:rPr>
        <w:t xml:space="preserve">Date Code:</w:t>
      </w:r>
      <w:r>
        <w:t xml:space="preserve"> </w:t>
      </w:r>
      <w:r>
        <w:t xml:space="preserve">2026-07-18 06:20 ET</w:t>
      </w:r>
    </w:p>
    <w:bookmarkEnd w:id="9"/>
    <w:bookmarkStart w:id="10" w:name="what-this-document-addresses"/>
    <w:p>
      <w:pPr>
        <w:pStyle w:val="Heading1"/>
      </w:pPr>
      <w:r>
        <w:t xml:space="preserve">1. What This Document Addresses</w:t>
      </w:r>
    </w:p>
    <w:p>
      <w:pPr>
        <w:pStyle w:val="FirstParagraph"/>
      </w:pPr>
      <w:r>
        <w:t xml:space="preserve">Vol V Book 01 taught the corpus from the assessor’s chair — the eight evidence</w:t>
      </w:r>
      <w:r>
        <w:t xml:space="preserve"> </w:t>
      </w:r>
      <w:r>
        <w:t xml:space="preserve">slots, read as</w:t>
      </w:r>
      <w:r>
        <w:t xml:space="preserve"> </w:t>
      </w:r>
      <w:r>
        <w:rPr>
          <w:rStyle w:val="VerbatimChar"/>
        </w:rPr>
        <w:t xml:space="preserve">book → control → KSI → evidence</w:t>
      </w:r>
      <w:r>
        <w:t xml:space="preserve">. This book teaches the same</w:t>
      </w:r>
      <w:r>
        <w:t xml:space="preserve"> </w:t>
      </w:r>
      <w:r>
        <w:t xml:space="preserve">corpus from the engineer’s chair: how to</w:t>
      </w:r>
      <w:r>
        <w:t xml:space="preserve"> </w:t>
      </w:r>
      <w:r>
        <w:rPr>
          <w:b/>
          <w:bCs/>
        </w:rPr>
        <w:t xml:space="preserve">build</w:t>
      </w:r>
      <w:r>
        <w:t xml:space="preserve"> </w:t>
      </w:r>
      <w:r>
        <w:t xml:space="preserve">the architectures Volumes</w:t>
      </w:r>
      <w:r>
        <w:t xml:space="preserve"> </w:t>
      </w:r>
      <w:r>
        <w:t xml:space="preserve">I–IV describe, and — the part that makes the difference — how to</w:t>
      </w:r>
      <w:r>
        <w:t xml:space="preserve"> </w:t>
      </w:r>
      <w:r>
        <w:rPr>
          <w:b/>
          <w:bCs/>
        </w:rPr>
        <w:t xml:space="preserve">land the</w:t>
      </w:r>
      <w:r>
        <w:rPr>
          <w:b/>
          <w:bCs/>
        </w:rPr>
        <w:t xml:space="preserve"> </w:t>
      </w:r>
      <w:r>
        <w:rPr>
          <w:b/>
          <w:bCs/>
        </w:rPr>
        <w:t xml:space="preserve">evidence</w:t>
      </w:r>
      <w:r>
        <w:t xml:space="preserve"> </w:t>
      </w:r>
      <w:r>
        <w:t xml:space="preserve">that Book 01’s slots score. It is the implementation track of the</w:t>
      </w:r>
      <w:r>
        <w:t xml:space="preserve"> </w:t>
      </w:r>
      <w:r>
        <w:t xml:space="preserve">Academy, aimed at network, platform, database, identity, and security engineers.</w:t>
      </w:r>
    </w:p>
    <w:p>
      <w:pPr>
        <w:pStyle w:val="BodyText"/>
      </w:pPr>
      <w:r>
        <w:t xml:space="preserve">The track has one rule, and it is the rule that separates a working system from</w:t>
      </w:r>
      <w:r>
        <w:t xml:space="preserve"> </w:t>
      </w:r>
      <w:r>
        <w:t xml:space="preserve">an authorizable one:</w:t>
      </w:r>
    </w:p>
    <w:p>
      <w:pPr>
        <w:pStyle w:val="BlockText"/>
      </w:pPr>
      <w:r>
        <w:rPr>
          <w:b/>
          <w:bCs/>
        </w:rPr>
        <w:t xml:space="preserve">The rule of the track.</w:t>
      </w:r>
      <w:r>
        <w:t xml:space="preserve"> </w:t>
      </w:r>
      <w:r>
        <w:t xml:space="preserve">A module is done when the thing works</w:t>
      </w:r>
      <w:r>
        <w:t xml:space="preserve"> </w:t>
      </w:r>
      <w:r>
        <w:rPr>
          <w:b/>
          <w:bCs/>
        </w:rPr>
        <w:t xml:space="preserve">and</w:t>
      </w:r>
      <w:r>
        <w:t xml:space="preserve"> </w:t>
      </w:r>
      <w:r>
        <w:t xml:space="preserve">the</w:t>
      </w:r>
      <w:r>
        <w:t xml:space="preserve"> </w:t>
      </w:r>
      <w:r>
        <w:t xml:space="preserve">conformance adapter can see it. Every lab ends with an evidence artifact placed</w:t>
      </w:r>
      <w:r>
        <w:t xml:space="preserve"> </w:t>
      </w:r>
      <w:r>
        <w:t xml:space="preserve">where a</w:t>
      </w:r>
      <w:r>
        <w:t xml:space="preserve"> </w:t>
      </w:r>
      <w:r>
        <w:rPr>
          <w:rStyle w:val="VerbatimChar"/>
        </w:rPr>
        <w:t xml:space="preserve">fedramp_aan_catalog</w:t>
      </w:r>
      <w:r>
        <w:t xml:space="preserve"> </w:t>
      </w:r>
      <w:r>
        <w:t xml:space="preserve">slot mapping can bind it, and a</w:t>
      </w:r>
      <w:r>
        <w:t xml:space="preserve"> </w:t>
      </w:r>
      <w:r>
        <w:rPr>
          <w:rStyle w:val="VerbatimChar"/>
        </w:rPr>
        <w:t xml:space="preserve">&lt;engine&gt; oscal ksi-ar</w:t>
      </w:r>
      <w:r>
        <w:t xml:space="preserve"> </w:t>
      </w:r>
      <w:r>
        <w:t xml:space="preserve">run that shows the slot’s verdict fed by</w:t>
      </w:r>
      <w:r>
        <w:t xml:space="preserve"> </w:t>
      </w:r>
      <w:r>
        <w:rPr>
          <w:i/>
          <w:iCs/>
        </w:rPr>
        <w:t xml:space="preserve">that</w:t>
      </w:r>
      <w:r>
        <w:t xml:space="preserve"> </w:t>
      </w:r>
      <w:r>
        <w:t xml:space="preserve">artifact. Building the</w:t>
      </w:r>
      <w:r>
        <w:t xml:space="preserve"> </w:t>
      </w:r>
      <w:r>
        <w:t xml:space="preserve">control is half the work; producing the evidence the KSI reads is the other</w:t>
      </w:r>
      <w:r>
        <w:t xml:space="preserve"> </w:t>
      </w:r>
      <w:r>
        <w:t xml:space="preserve">half, and it is the half most builds skip.</w:t>
      </w:r>
    </w:p>
    <w:p>
      <w:pPr>
        <w:pStyle w:val="FirstParagraph"/>
      </w:pPr>
      <w:r>
        <w:t xml:space="preserve">The eight modules below are grouped by build cluster and sequenced by real</w:t>
      </w:r>
      <w:r>
        <w:t xml:space="preserve"> </w:t>
      </w:r>
      <w:r>
        <w:t xml:space="preserve">dependency: you name and address before you admit and identify, identify before</w:t>
      </w:r>
      <w:r>
        <w:t xml:space="preserve"> </w:t>
      </w:r>
      <w:r>
        <w:t xml:space="preserve">you shape transport, and shape transport before you place data. Detection,</w:t>
      </w:r>
      <w:r>
        <w:t xml:space="preserve"> </w:t>
      </w:r>
      <w:r>
        <w:t xml:space="preserve">privileged access, and resilience run in parallel once the identity floor</w:t>
      </w:r>
      <w:r>
        <w:t xml:space="preserve"> </w:t>
      </w:r>
      <w:r>
        <w:t xml:space="preserve">exists; authorize-and-operate assembles what every other module produced.</w:t>
      </w:r>
    </w:p>
    <w:p>
      <w:pPr>
        <w:pStyle w:val="BodyText"/>
      </w:pPr>
      <w:r>
        <w:rPr>
          <w:b/>
          <w:bCs/>
        </w:rPr>
        <w:t xml:space="preserve">Prerequisite — Module A0 of Book 01.</w:t>
      </w:r>
      <w:r>
        <w:t xml:space="preserve"> </w:t>
      </w:r>
      <w:r>
        <w:t xml:space="preserve">You need the FedRAMP 20x timeline and</w:t>
      </w:r>
      <w:r>
        <w:t xml:space="preserve"> </w:t>
      </w:r>
      <w:r>
        <w:t xml:space="preserve">the evidence-slot model in your head before you build, because every build here</w:t>
      </w:r>
      <w:r>
        <w:t xml:space="preserve"> </w:t>
      </w:r>
      <w:r>
        <w:t xml:space="preserve">ends by landing evidence, not just by working. Read Book 01’s orientation module</w:t>
      </w:r>
      <w:r>
        <w:t xml:space="preserve"> </w:t>
      </w:r>
      <w:r>
        <w:t xml:space="preserve">first.</w:t>
      </w:r>
    </w:p>
    <w:bookmarkEnd w:id="10"/>
    <w:bookmarkStart w:id="11" w:name="Xaee808d7ccda63f7843c8fe8928afbc9cb99edf"/>
    <w:p>
      <w:pPr>
        <w:pStyle w:val="Heading1"/>
      </w:pPr>
      <w:r>
        <w:t xml:space="preserve">2. Module B1 — Landing Zone, IPAM &amp; DDI (Vol I Book 01)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Read:</w:t>
      </w:r>
      <w:r>
        <w:t xml:space="preserve"> </w:t>
      </w:r>
      <w:r>
        <w:t xml:space="preserve">Vol I Book 01 (Agency Landing Zone, IPAM &amp; FedRAMP).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Build:</w:t>
      </w:r>
      <w:r>
        <w:t xml:space="preserve"> </w:t>
      </w:r>
      <w:r>
        <w:t xml:space="preserve">the DDI core — authoritative IPAM, DNS, DHCP, and PKI issuance for</w:t>
      </w:r>
      <w:r>
        <w:t xml:space="preserve"> </w:t>
      </w:r>
      <w:r>
        <w:t xml:space="preserve">the landing zone. The reference stack is Infoblox; the reference implementation’s</w:t>
      </w:r>
      <w:r>
        <w:t xml:space="preserve"> </w:t>
      </w:r>
      <w:r>
        <w:t xml:space="preserve">modernization adapters for BlueCat and Infoblox cover directory migration into it.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Lab:</w:t>
      </w:r>
      <w:r>
        <w:t xml:space="preserve"> </w:t>
      </w:r>
      <w:r>
        <w:t xml:space="preserve">stand up (or simulate with fixtures) an IPAM inventory export and bind</w:t>
      </w:r>
      <w:r>
        <w:t xml:space="preserve"> </w:t>
      </w:r>
      <w:r>
        <w:t xml:space="preserve">it as</w:t>
      </w:r>
      <w:r>
        <w:t xml:space="preserve"> </w:t>
      </w:r>
      <w:r>
        <w:rPr>
          <w:b/>
          <w:bCs/>
        </w:rPr>
        <w:t xml:space="preserve">slot-03 network</w:t>
      </w:r>
      <w:r>
        <w:t xml:space="preserve"> </w:t>
      </w:r>
      <w:r>
        <w:t xml:space="preserve">evidence (the CM-8 addressing anchor).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Vendor training:</w:t>
      </w:r>
      <w:r>
        <w:t xml:space="preserve"> </w:t>
      </w:r>
      <w:r>
        <w:t xml:space="preserve">Infoblox education, BlueCat learning, Microsoft AZ-700 —</w:t>
      </w:r>
      <w:r>
        <w:t xml:space="preserve"> </w:t>
      </w:r>
      <w:r>
        <w:t xml:space="preserve">see Vol V Book 04 §Networking &amp; DDI.</w:t>
      </w:r>
    </w:p>
    <w:p>
      <w:pPr>
        <w:pStyle w:val="FirstParagraph"/>
      </w:pPr>
      <w:r>
        <w:t xml:space="preserve">B1 is first because it is the join key for everything downstream: the CM-8</w:t>
      </w:r>
      <w:r>
        <w:t xml:space="preserve"> </w:t>
      </w:r>
      <w:r>
        <w:t xml:space="preserve">asset-identity anchor the Multi-Cloud Evidence Fabric later correlates against.</w:t>
      </w:r>
      <w:r>
        <w:t xml:space="preserve"> </w:t>
      </w:r>
      <w:r>
        <w:t xml:space="preserve">No inventory, no correlation — so the module is not done until the IPAM export is</w:t>
      </w:r>
      <w:r>
        <w:t xml:space="preserve"> </w:t>
      </w:r>
      <w:r>
        <w:t xml:space="preserve">bound and the slot-03 verdict reads it.</w:t>
      </w:r>
    </w:p>
    <w:bookmarkEnd w:id="11"/>
    <w:bookmarkStart w:id="12" w:name="Xd38527a652803e85dce842c02c4e6cb5ed9e446"/>
    <w:p>
      <w:pPr>
        <w:pStyle w:val="Heading1"/>
      </w:pPr>
      <w:r>
        <w:t xml:space="preserve">3. Module B2 — Access &amp; Identity Foundations (Vol I Books 02–04)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Read:</w:t>
      </w:r>
      <w:r>
        <w:t xml:space="preserve"> </w:t>
      </w:r>
      <w:r>
        <w:t xml:space="preserve">Vol I Book 02 (Network Access Control — 802.1X), Vol I Book 03</w:t>
      </w:r>
      <w:r>
        <w:t xml:space="preserve"> </w:t>
      </w:r>
      <w:r>
        <w:t xml:space="preserve">(Certificates &amp; Tokens), Vol I Book 04 (HRIT Identity &amp; Org SSOT).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Build:</w:t>
      </w:r>
      <w:r>
        <w:t xml:space="preserve"> </w:t>
      </w:r>
      <w:r>
        <w:t xml:space="preserve">the admission-and-identity layer everything after B1 assumes —</w:t>
      </w:r>
      <w:r>
        <w:t xml:space="preserve"> </w:t>
      </w:r>
      <w:r>
        <w:t xml:space="preserve">802.1X EAP-TLS port/wireless authentication with the five-tier VLAN model and</w:t>
      </w:r>
      <w:r>
        <w:t xml:space="preserve"> </w:t>
      </w:r>
      <w:r>
        <w:t xml:space="preserve">CoA (Book 02); the cryptographic credential plane, offline-root + name-</w:t>
      </w:r>
      <w:r>
        <w:t xml:space="preserve"> </w:t>
      </w:r>
      <w:r>
        <w:t xml:space="preserve">constrained issuing CAs, ACME/SCEP at short lifetimes, phishing-resistant MFA,</w:t>
      </w:r>
      <w:r>
        <w:t xml:space="preserve"> </w:t>
      </w:r>
      <w:r>
        <w:t xml:space="preserve">and workload identity federation (Book 03); and the HR-driven SSOT pipeline —</w:t>
      </w:r>
      <w:r>
        <w:t xml:space="preserve"> </w:t>
      </w:r>
      <w:r>
        <w:t xml:space="preserve">the authoritative source, effective-dated records, and the SCIM/Graph</w:t>
      </w:r>
      <w:r>
        <w:t xml:space="preserve"> </w:t>
      </w:r>
      <w:r>
        <w:rPr>
          <w:rStyle w:val="VerbatimChar"/>
        </w:rPr>
        <w:t xml:space="preserve">bulkUpload</w:t>
      </w:r>
      <w:r>
        <w:t xml:space="preserve"> </w:t>
      </w:r>
      <w:r>
        <w:t xml:space="preserve">provisioning flow with the six-step leaver (Book 04).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Lab:</w:t>
      </w:r>
      <w:r>
        <w:t xml:space="preserve"> </w:t>
      </w:r>
      <w:r>
        <w:t xml:space="preserve">three worked exercises. Deploy EAP-TLS</w:t>
      </w:r>
      <w:r>
        <w:t xml:space="preserve"> </w:t>
      </w:r>
      <w:r>
        <w:rPr>
          <w:b/>
          <w:bCs/>
        </w:rPr>
        <w:t xml:space="preserve">in monitor mode first</w:t>
      </w:r>
      <w:r>
        <w:t xml:space="preserve"> </w:t>
      </w:r>
      <w:r>
        <w:t xml:space="preserve">with</w:t>
      </w:r>
      <w:r>
        <w:t xml:space="preserve"> </w:t>
      </w:r>
      <w:r>
        <w:t xml:space="preserve">an Intune SCEP profile, review the would-have-failed log, then enforce one</w:t>
      </w:r>
      <w:r>
        <w:t xml:space="preserve"> </w:t>
      </w:r>
      <w:r>
        <w:t xml:space="preserve">switch/SSID. Stand up the CAA + ACME DNS-01 issuance chain and rotate a</w:t>
      </w:r>
      <w:r>
        <w:t xml:space="preserve"> </w:t>
      </w:r>
      <w:r>
        <w:t xml:space="preserve">certificate inside its lifetime. Run the six-step leaver in shadow mode and</w:t>
      </w:r>
      <w:r>
        <w:t xml:space="preserve"> </w:t>
      </w:r>
      <w:r>
        <w:t xml:space="preserve">capture the deprovisioning evidence. The Book 03/04 artifacts bind as</w:t>
      </w:r>
      <w:r>
        <w:t xml:space="preserve"> </w:t>
      </w:r>
      <w:r>
        <w:rPr>
          <w:b/>
          <w:bCs/>
        </w:rPr>
        <w:t xml:space="preserve">slot-01 identity</w:t>
      </w:r>
      <w:r>
        <w:t xml:space="preserve"> </w:t>
      </w:r>
      <w:r>
        <w:t xml:space="preserve">evidence; Book 02’s port-authentication evidence is held</w:t>
      </w:r>
      <w:r>
        <w:t xml:space="preserve"> </w:t>
      </w:r>
      <w:r>
        <w:t xml:space="preserve">pending the adapter mapping refresh.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Vendor training:</w:t>
      </w:r>
      <w:r>
        <w:t xml:space="preserve"> </w:t>
      </w:r>
      <w:r>
        <w:t xml:space="preserve">Cisco U / Networking Academy (ISE, NAC), Microsoft SC-300</w:t>
      </w:r>
      <w:r>
        <w:t xml:space="preserve"> </w:t>
      </w:r>
      <w:r>
        <w:t xml:space="preserve">(Entra identity &amp; lifecycle), AZ-500, SailPoint Identity University — see Vol V</w:t>
      </w:r>
      <w:r>
        <w:t xml:space="preserve"> </w:t>
      </w:r>
      <w:r>
        <w:t xml:space="preserve">Book 04 §Identity &amp; zero trust.</w:t>
      </w:r>
    </w:p>
    <w:p>
      <w:pPr>
        <w:pStyle w:val="BlockText"/>
      </w:pPr>
      <w:r>
        <w:rPr>
          <w:b/>
          <w:bCs/>
        </w:rPr>
        <w:t xml:space="preserve">Closure Necessity — monitor mode is not optional.</w:t>
      </w:r>
      <w:r>
        <w:t xml:space="preserve"> </w:t>
      </w:r>
      <w:r>
        <w:t xml:space="preserve">802.1X enforced on day</w:t>
      </w:r>
      <w:r>
        <w:t xml:space="preserve"> </w:t>
      </w:r>
      <w:r>
        <w:t xml:space="preserve">one is the classic NAC lockout. The build discipline the module enforces is</w:t>
      </w:r>
      <w:r>
        <w:t xml:space="preserve"> </w:t>
      </w:r>
      <w:r>
        <w:t xml:space="preserve">monitor-mode-first: collect the would-have-failed data, fix supplicant and</w:t>
      </w:r>
      <w:r>
        <w:t xml:space="preserve"> </w:t>
      </w:r>
      <w:r>
        <w:t xml:space="preserve">certificate coverage,</w:t>
      </w:r>
      <w:r>
        <w:t xml:space="preserve"> </w:t>
      </w:r>
      <w:r>
        <w:rPr>
          <w:i/>
          <w:iCs/>
        </w:rPr>
        <w:t xml:space="preserve">then</w:t>
      </w:r>
      <w:r>
        <w:t xml:space="preserve"> </w:t>
      </w:r>
      <w:r>
        <w:t xml:space="preserve">enforce. An assessor reading the slot-05 evidence</w:t>
      </w:r>
      <w:r>
        <w:t xml:space="preserve"> </w:t>
      </w:r>
      <w:r>
        <w:t xml:space="preserve">should see the pre-enforcement readiness report, not just the enforcing config.</w:t>
      </w:r>
    </w:p>
    <w:bookmarkEnd w:id="12"/>
    <w:bookmarkStart w:id="13" w:name="X96627d274d9d5c1c7d52e7f0c43411ac15201f8"/>
    <w:p>
      <w:pPr>
        <w:pStyle w:val="Heading1"/>
      </w:pPr>
      <w:r>
        <w:t xml:space="preserve">4. Module B3 — Network &amp; Telecommunications Modernization (Vol I Books 05–07)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Read:</w:t>
      </w:r>
      <w:r>
        <w:t xml:space="preserve"> </w:t>
      </w:r>
      <w:r>
        <w:t xml:space="preserve">Vol I Book 05 (Network Modernization — SD-WAN, SASE, UC), Vol I</w:t>
      </w:r>
      <w:r>
        <w:t xml:space="preserve"> </w:t>
      </w:r>
      <w:r>
        <w:t xml:space="preserve">Book 06 (Federal Telecommunications Modernization — TIC 3.0), Vol I Book 07</w:t>
      </w:r>
      <w:r>
        <w:t xml:space="preserve"> </w:t>
      </w:r>
      <w:r>
        <w:t xml:space="preserve">(Network Enforcement Substrate — the customer-owned edge).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Build:</w:t>
      </w:r>
      <w:r>
        <w:t xml:space="preserve"> </w:t>
      </w:r>
      <w:r>
        <w:t xml:space="preserve">application-aware transport — SD-WAN path policy keyed to</w:t>
      </w:r>
      <w:r>
        <w:t xml:space="preserve"> </w:t>
      </w:r>
      <w:r>
        <w:t xml:space="preserve">application identity, SASE enforcement under TIC 3.0, and the customer-owned</w:t>
      </w:r>
      <w:r>
        <w:t xml:space="preserve"> </w:t>
      </w:r>
      <w:r>
        <w:t xml:space="preserve">edge gear (Cisco / Palo Alto / Juniper) accredited through NIAP / DISA STIG /</w:t>
      </w:r>
      <w:r>
        <w:t xml:space="preserve"> </w:t>
      </w:r>
      <w:r>
        <w:t xml:space="preserve">FIPS 140-3 / DoDIN APL. This is where the customer-owned half of SC-7/SC-8 —</w:t>
      </w:r>
      <w:r>
        <w:t xml:space="preserve"> </w:t>
      </w:r>
      <w:r>
        <w:t xml:space="preserve">the half no CSP’s FedRAMP authorization covers — is actually built.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Lab:</w:t>
      </w:r>
      <w:r>
        <w:t xml:space="preserve"> </w:t>
      </w:r>
      <w:r>
        <w:t xml:space="preserve">author one application-aware path policy and one ZTNA access policy;</w:t>
      </w:r>
      <w:r>
        <w:t xml:space="preserve"> </w:t>
      </w:r>
      <w:r>
        <w:t xml:space="preserve">export the policy state and bind it as</w:t>
      </w:r>
      <w:r>
        <w:t xml:space="preserve"> </w:t>
      </w:r>
      <w:r>
        <w:rPr>
          <w:b/>
          <w:bCs/>
        </w:rPr>
        <w:t xml:space="preserve">slot-03 network</w:t>
      </w:r>
      <w:r>
        <w:t xml:space="preserve"> </w:t>
      </w:r>
      <w:r>
        <w:t xml:space="preserve">evidence.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Vendor training:</w:t>
      </w:r>
      <w:r>
        <w:t xml:space="preserve"> </w:t>
      </w:r>
      <w:r>
        <w:t xml:space="preserve">Cisco U / Networking Academy (SD-WAN), Fortinet / Palo</w:t>
      </w:r>
      <w:r>
        <w:t xml:space="preserve"> </w:t>
      </w:r>
      <w:r>
        <w:t xml:space="preserve">Alto (SASE), AWS Skill Builder (Amazon Connect) — see Vol V Book 04</w:t>
      </w:r>
      <w:r>
        <w:t xml:space="preserve"> </w:t>
      </w:r>
      <w:r>
        <w:t xml:space="preserve">§Networking &amp; DDI and §Identity &amp; zero trust.</w:t>
      </w:r>
    </w:p>
    <w:p>
      <w:pPr>
        <w:pStyle w:val="FirstParagraph"/>
      </w:pPr>
      <w:r>
        <w:t xml:space="preserve">The module’s doctrine is Theme B: the circuit fixes the geographic hairpin and</w:t>
      </w:r>
      <w:r>
        <w:t xml:space="preserve"> </w:t>
      </w:r>
      <w:r>
        <w:t xml:space="preserve">nothing else; every control lives in the overlay and the PEP. Build the overlay,</w:t>
      </w:r>
      <w:r>
        <w:t xml:space="preserve"> </w:t>
      </w:r>
      <w:r>
        <w:t xml:space="preserve">not the pipe, and prove SC-8 with the CA-7 signal that shows it stays enforced.</w:t>
      </w:r>
    </w:p>
    <w:bookmarkEnd w:id="13"/>
    <w:bookmarkStart w:id="14" w:name="X7ae13ea138839a374e2612d0d1f094e7598649e"/>
    <w:p>
      <w:pPr>
        <w:pStyle w:val="Heading1"/>
      </w:pPr>
      <w:r>
        <w:t xml:space="preserve">5. Module B4 — Data Platform Modernization (Vol II Books 01–03)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Read:</w:t>
      </w:r>
      <w:r>
        <w:t xml:space="preserve"> </w:t>
      </w:r>
      <w:r>
        <w:t xml:space="preserve">Vol II Book 01 (SQL Server Authentication Modernization), Vol II</w:t>
      </w:r>
      <w:r>
        <w:t xml:space="preserve"> </w:t>
      </w:r>
      <w:r>
        <w:t xml:space="preserve">Book 02 (SQL Server Implementation Guide — the runbook), Vol II Book 03</w:t>
      </w:r>
      <w:r>
        <w:t xml:space="preserve"> </w:t>
      </w:r>
      <w:r>
        <w:t xml:space="preserve">(Database Consolidation &amp; Network Physics).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Build:</w:t>
      </w:r>
      <w:r>
        <w:t xml:space="preserve"> </w:t>
      </w:r>
      <w:r>
        <w:t xml:space="preserve">Entra-integrated SQL Server authentication (no SQL logins), then the</w:t>
      </w:r>
      <w:r>
        <w:t xml:space="preserve"> </w:t>
      </w:r>
      <w:r>
        <w:t xml:space="preserve">consolidation architecture Book 03 derives from network physics (latency</w:t>
      </w:r>
      <w:r>
        <w:t xml:space="preserve"> </w:t>
      </w:r>
      <w:r>
        <w:t xml:space="preserve">budgets, placement, failure domains).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Lab:</w:t>
      </w:r>
      <w:r>
        <w:t xml:space="preserve"> </w:t>
      </w:r>
      <w:r>
        <w:t xml:space="preserve">execute the Book 02 runbook against a lab instance; capture the</w:t>
      </w:r>
      <w:r>
        <w:t xml:space="preserve"> </w:t>
      </w:r>
      <w:r>
        <w:t xml:space="preserve">authentication-mode evidence and bind it as</w:t>
      </w:r>
      <w:r>
        <w:t xml:space="preserve"> </w:t>
      </w:r>
      <w:r>
        <w:rPr>
          <w:b/>
          <w:bCs/>
        </w:rPr>
        <w:t xml:space="preserve">slot-01 identity</w:t>
      </w:r>
      <w:r>
        <w:t xml:space="preserve"> </w:t>
      </w:r>
      <w:r>
        <w:t xml:space="preserve">evidence.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Vendor training:</w:t>
      </w:r>
      <w:r>
        <w:t xml:space="preserve"> </w:t>
      </w:r>
      <w:r>
        <w:t xml:space="preserve">Microsoft DP-300, SQL Server security learning paths — see</w:t>
      </w:r>
      <w:r>
        <w:t xml:space="preserve"> </w:t>
      </w:r>
      <w:r>
        <w:t xml:space="preserve">Vol V Book 04 §Data platform.</w:t>
      </w:r>
    </w:p>
    <w:bookmarkEnd w:id="14"/>
    <w:bookmarkStart w:id="15" w:name="Xecce01951fbdc2e8b9d5743e86e3f604ca80bf3"/>
    <w:p>
      <w:pPr>
        <w:pStyle w:val="Heading1"/>
      </w:pPr>
      <w:r>
        <w:t xml:space="preserve">6. Module B5 — Privileged Access (Vol III Book 01)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Read:</w:t>
      </w:r>
      <w:r>
        <w:t xml:space="preserve"> </w:t>
      </w:r>
      <w:r>
        <w:t xml:space="preserve">Vol III Book 01 (Privileged Access Management — Entra PIM + PAW).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Build:</w:t>
      </w:r>
      <w:r>
        <w:t xml:space="preserve"> </w:t>
      </w:r>
      <w:r>
        <w:t xml:space="preserve">role-activation workflows in PIM (eligibility, activation, approval,</w:t>
      </w:r>
      <w:r>
        <w:t xml:space="preserve"> </w:t>
      </w:r>
      <w:r>
        <w:t xml:space="preserve">review) and the privileged-access-workstation tier model, break-glass first.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Lab:</w:t>
      </w:r>
      <w:r>
        <w:t xml:space="preserve"> </w:t>
      </w:r>
      <w:r>
        <w:t xml:space="preserve">configure one eligible role with activation approval + access review;</w:t>
      </w:r>
      <w:r>
        <w:t xml:space="preserve"> </w:t>
      </w:r>
      <w:r>
        <w:t xml:space="preserve">export the PIM audit trail and bind it as</w:t>
      </w:r>
      <w:r>
        <w:t xml:space="preserve"> </w:t>
      </w:r>
      <w:r>
        <w:rPr>
          <w:b/>
          <w:bCs/>
        </w:rPr>
        <w:t xml:space="preserve">slot-01/slot-05</w:t>
      </w:r>
      <w:r>
        <w:t xml:space="preserve"> </w:t>
      </w:r>
      <w:r>
        <w:t xml:space="preserve">evidence.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Vendor training:</w:t>
      </w:r>
      <w:r>
        <w:t xml:space="preserve"> </w:t>
      </w:r>
      <w:r>
        <w:t xml:space="preserve">Microsoft SC-300, AZ-500; SANS privileged-access</w:t>
      </w:r>
      <w:r>
        <w:t xml:space="preserve"> </w:t>
      </w:r>
      <w:r>
        <w:t xml:space="preserve">coursework — see Vol V Book 04 §Identity &amp; zero trust.</w:t>
      </w:r>
    </w:p>
    <w:p>
      <w:pPr>
        <w:pStyle w:val="FirstParagraph"/>
      </w:pPr>
      <w:r>
        <w:t xml:space="preserve">The build order is the security outcome: create the break-glass accounts</w:t>
      </w:r>
      <w:r>
        <w:t xml:space="preserve"> </w:t>
      </w:r>
      <w:r>
        <w:rPr>
          <w:i/>
          <w:iCs/>
        </w:rPr>
        <w:t xml:space="preserve">before</w:t>
      </w:r>
      <w:r>
        <w:t xml:space="preserve"> </w:t>
      </w:r>
      <w:r>
        <w:t xml:space="preserve">removing standing access, deploy Conditional Access in report-only for 14+ days</w:t>
      </w:r>
      <w:r>
        <w:t xml:space="preserve"> </w:t>
      </w:r>
      <w:r>
        <w:t xml:space="preserve">before enforcing. The evidence is the PIM audit trail showing activation</w:t>
      </w:r>
      <w:r>
        <w:t xml:space="preserve"> </w:t>
      </w:r>
      <w:r>
        <w:t xml:space="preserve">ceremonies, not the policy definition.</w:t>
      </w:r>
    </w:p>
    <w:bookmarkEnd w:id="15"/>
    <w:bookmarkStart w:id="16" w:name="X040c47cf430122ca323de09fef3c12fa720a40f"/>
    <w:p>
      <w:pPr>
        <w:pStyle w:val="Heading1"/>
      </w:pPr>
      <w:r>
        <w:t xml:space="preserve">7. Module B6 — Detect &amp; Protect (Vol III Books 02–07)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Read:</w:t>
      </w:r>
      <w:r>
        <w:t xml:space="preserve"> </w:t>
      </w:r>
      <w:r>
        <w:t xml:space="preserve">Vol III Book 02 (Vulnerability Management — Defender VM + KEV),</w:t>
      </w:r>
      <w:r>
        <w:t xml:space="preserve"> </w:t>
      </w:r>
      <w:r>
        <w:t xml:space="preserve">Vol III Book 03 (Patch &amp; Systems Management — platform-native remediation),</w:t>
      </w:r>
      <w:r>
        <w:t xml:space="preserve"> </w:t>
      </w:r>
      <w:r>
        <w:t xml:space="preserve">Vol III Book 04 (Cloud-Native Security Posture), Vol III Book 05 (Data</w:t>
      </w:r>
      <w:r>
        <w:t xml:space="preserve"> </w:t>
      </w:r>
      <w:r>
        <w:t xml:space="preserve">Protection — Purview + Key Vault CMK), Vol III Book 06 (SIEM / XDR — Sentinel),</w:t>
      </w:r>
      <w:r>
        <w:t xml:space="preserve"> </w:t>
      </w:r>
      <w:r>
        <w:t xml:space="preserve">and Vol III Book 07 (Multi-Cloud Evidence Fabric).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Build:</w:t>
      </w:r>
      <w:r>
        <w:t xml:space="preserve"> </w:t>
      </w:r>
      <w:r>
        <w:t xml:space="preserve">the telemetry spine — Defender VM assessment with KEV</w:t>
      </w:r>
      <w:r>
        <w:t xml:space="preserve"> </w:t>
      </w:r>
      <w:r>
        <w:t xml:space="preserve">prioritization; the platform-native patch orchestration that actuates the</w:t>
      </w:r>
      <w:r>
        <w:t xml:space="preserve"> </w:t>
      </w:r>
      <w:r>
        <w:t xml:space="preserve">remediation the scan measures (SI-2 — Book 03 closes the gap Book 02 finds);</w:t>
      </w:r>
      <w:r>
        <w:t xml:space="preserve"> </w:t>
      </w:r>
      <w:r>
        <w:t xml:space="preserve">CSPM/CNAPP posture and container runtime coverage; Purview</w:t>
      </w:r>
      <w:r>
        <w:t xml:space="preserve"> </w:t>
      </w:r>
      <w:r>
        <w:t xml:space="preserve">sensitivity labeling + customer-managed keys; Sentinel analytics, incidents,</w:t>
      </w:r>
      <w:r>
        <w:t xml:space="preserve"> </w:t>
      </w:r>
      <w:r>
        <w:t xml:space="preserve">and automation; and the evidence fabric that correlates every source’s record</w:t>
      </w:r>
      <w:r>
        <w:t xml:space="preserve"> </w:t>
      </w:r>
      <w:r>
        <w:t xml:space="preserve">into one lake bound for CDM and the KSI pipeline.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Lab:</w:t>
      </w:r>
      <w:r>
        <w:t xml:space="preserve"> </w:t>
      </w:r>
      <w:r>
        <w:t xml:space="preserve">one end-to-end detection — seed a vulnerable/exposed condition, watch</w:t>
      </w:r>
      <w:r>
        <w:t xml:space="preserve"> </w:t>
      </w:r>
      <w:r>
        <w:t xml:space="preserve">it surface in Defender VM, alert in Sentinel, remediate it through the</w:t>
      </w:r>
      <w:r>
        <w:t xml:space="preserve"> </w:t>
      </w:r>
      <w:r>
        <w:t xml:space="preserve">platform-native patch stack and export the remediation-status record as</w:t>
      </w:r>
      <w:r>
        <w:t xml:space="preserve"> </w:t>
      </w:r>
      <w:r>
        <w:rPr>
          <w:b/>
          <w:bCs/>
        </w:rPr>
        <w:t xml:space="preserve">slot-05 endpoint</w:t>
      </w:r>
      <w:r>
        <w:t xml:space="preserve"> </w:t>
      </w:r>
      <w:r>
        <w:t xml:space="preserve">evidence, and close with an evidence export</w:t>
      </w:r>
      <w:r>
        <w:t xml:space="preserve"> </w:t>
      </w:r>
      <w:r>
        <w:t xml:space="preserve">bound to</w:t>
      </w:r>
      <w:r>
        <w:t xml:space="preserve"> </w:t>
      </w:r>
      <w:r>
        <w:rPr>
          <w:b/>
          <w:bCs/>
        </w:rPr>
        <w:t xml:space="preserve">slot-04 telemetry</w:t>
      </w:r>
      <w:r>
        <w:t xml:space="preserve"> </w:t>
      </w:r>
      <w:r>
        <w:t xml:space="preserve">(and slot-06 for the configuration-drift angle).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Vendor training:</w:t>
      </w:r>
      <w:r>
        <w:t xml:space="preserve"> </w:t>
      </w:r>
      <w:r>
        <w:t xml:space="preserve">Microsoft SC-200 (Sentinel/Defender), SC-401 (Purview),</w:t>
      </w:r>
      <w:r>
        <w:t xml:space="preserve"> </w:t>
      </w:r>
      <w:r>
        <w:t xml:space="preserve">Splunk &amp; Elastic for portable SIEM fundamentals — see Vol V Book 04 §Security</w:t>
      </w:r>
      <w:r>
        <w:t xml:space="preserve"> </w:t>
      </w:r>
      <w:r>
        <w:t xml:space="preserve">operations.</w:t>
      </w:r>
    </w:p>
    <w:bookmarkEnd w:id="16"/>
    <w:bookmarkStart w:id="17" w:name="X0936107edb28f3a1e942de46434d890043daeff"/>
    <w:p>
      <w:pPr>
        <w:pStyle w:val="Heading1"/>
      </w:pPr>
      <w:r>
        <w:t xml:space="preserve">8. Module B7 — Resilience &amp; Governance (Vol IV Books 01–04)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Read:</w:t>
      </w:r>
      <w:r>
        <w:t xml:space="preserve"> </w:t>
      </w:r>
      <w:r>
        <w:t xml:space="preserve">Vol IV Book 01 (Business Continuity), Vol IV Book 02 (Supply Chain</w:t>
      </w:r>
      <w:r>
        <w:t xml:space="preserve"> </w:t>
      </w:r>
      <w:r>
        <w:t xml:space="preserve">Risk Management), Vol IV Book 03 (Program Management &amp; Governance), Vol IV</w:t>
      </w:r>
      <w:r>
        <w:t xml:space="preserve"> </w:t>
      </w:r>
      <w:r>
        <w:t xml:space="preserve">Book 04 (PII Processing &amp; Transparency).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Build:</w:t>
      </w:r>
      <w:r>
        <w:t xml:space="preserve"> </w:t>
      </w:r>
      <w:r>
        <w:t xml:space="preserve">the contingency architecture (alternate processing/storage, CP-4</w:t>
      </w:r>
      <w:r>
        <w:t xml:space="preserve"> </w:t>
      </w:r>
      <w:r>
        <w:t xml:space="preserve">test harness); the SBOM pipeline (Syft/Grype-class generation, CycloneDX/SPDX</w:t>
      </w:r>
      <w:r>
        <w:t xml:space="preserve"> </w:t>
      </w:r>
      <w:r>
        <w:t xml:space="preserve">VDR, OpenVEX VER for BOD 26-04); the PM governance charter artifacts; PII</w:t>
      </w:r>
      <w:r>
        <w:t xml:space="preserve"> </w:t>
      </w:r>
      <w:r>
        <w:t xml:space="preserve">processing-transparency records.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Lab:</w:t>
      </w:r>
      <w:r>
        <w:t xml:space="preserve"> </w:t>
      </w:r>
      <w:r>
        <w:t xml:space="preserve">generate an SBOM for a real service, produce the VDR document, and</w:t>
      </w:r>
      <w:r>
        <w:t xml:space="preserve"> </w:t>
      </w:r>
      <w:r>
        <w:t xml:space="preserve">bind it as</w:t>
      </w:r>
      <w:r>
        <w:t xml:space="preserve"> </w:t>
      </w:r>
      <w:r>
        <w:rPr>
          <w:b/>
          <w:bCs/>
        </w:rPr>
        <w:t xml:space="preserve">slot-06</w:t>
      </w:r>
      <w:r>
        <w:t xml:space="preserve"> </w:t>
      </w:r>
      <w:r>
        <w:t xml:space="preserve">evidence; run one tabletop contingency test and bind the</w:t>
      </w:r>
      <w:r>
        <w:t xml:space="preserve"> </w:t>
      </w:r>
      <w:r>
        <w:t xml:space="preserve">after-action findings as</w:t>
      </w:r>
      <w:r>
        <w:t xml:space="preserve"> </w:t>
      </w:r>
      <w:r>
        <w:rPr>
          <w:b/>
          <w:bCs/>
        </w:rPr>
        <w:t xml:space="preserve">slot-07 continuity</w:t>
      </w:r>
      <w:r>
        <w:t xml:space="preserve"> </w:t>
      </w:r>
      <w:r>
        <w:t xml:space="preserve">evidence.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Vendor training:</w:t>
      </w:r>
      <w:r>
        <w:t xml:space="preserve"> </w:t>
      </w:r>
      <w:r>
        <w:t xml:space="preserve">CISA Learning, FedRAMP PMO materials, OWASP / Linux</w:t>
      </w:r>
      <w:r>
        <w:t xml:space="preserve"> </w:t>
      </w:r>
      <w:r>
        <w:t xml:space="preserve">Foundation SBOM resources — see Vol V Book 04 §Federal &amp; compliance.</w:t>
      </w:r>
    </w:p>
    <w:bookmarkEnd w:id="17"/>
    <w:bookmarkStart w:id="18" w:name="X9de9c5a7dddb335e12318b4f50312b1b984508f"/>
    <w:p>
      <w:pPr>
        <w:pStyle w:val="Heading1"/>
      </w:pPr>
      <w:r>
        <w:t xml:space="preserve">9. Module B8 — Authorize &amp; Operate (Vol IV Books 05–06)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Read:</w:t>
      </w:r>
      <w:r>
        <w:t xml:space="preserve"> </w:t>
      </w:r>
      <w:r>
        <w:t xml:space="preserve">Vol IV Book 05 (Cybersecurity Training &amp; Awareness) and Vol IV</w:t>
      </w:r>
      <w:r>
        <w:t xml:space="preserve"> </w:t>
      </w:r>
      <w:r>
        <w:t xml:space="preserve">Book 06 (Authorization Package &amp; ConMon).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Build:</w:t>
      </w:r>
      <w:r>
        <w:t xml:space="preserve"> </w:t>
      </w:r>
      <w:r>
        <w:t xml:space="preserve">the four-dimension training program with its monthly LMS export</w:t>
      </w:r>
      <w:r>
        <w:t xml:space="preserve"> </w:t>
      </w:r>
      <w:r>
        <w:t xml:space="preserve">(Viva Learning Graph API →</w:t>
      </w:r>
      <w:r>
        <w:t xml:space="preserve"> </w:t>
      </w:r>
      <w:r>
        <w:rPr>
          <w:rStyle w:val="VerbatimChar"/>
        </w:rPr>
        <w:t xml:space="preserve">training-effectiveness-record</w:t>
      </w:r>
      <w:r>
        <w:t xml:space="preserve"> </w:t>
      </w:r>
      <w:r>
        <w:t xml:space="preserve">JSON), then the</w:t>
      </w:r>
      <w:r>
        <w:t xml:space="preserve"> </w:t>
      </w:r>
      <w:r>
        <w:t xml:space="preserve">authorization mechanics — the OSCAL AP/AR/POA&amp;M bundle, the CA-7 ConMon</w:t>
      </w:r>
      <w:r>
        <w:t xml:space="preserve"> </w:t>
      </w:r>
      <w:r>
        <w:t xml:space="preserve">calendar with per-slot evidence freshness rules, and the BOD 26-04 VDR/VER</w:t>
      </w:r>
      <w:r>
        <w:t xml:space="preserve"> </w:t>
      </w:r>
      <w:r>
        <w:t xml:space="preserve">submission flow.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Lab:</w:t>
      </w:r>
      <w:r>
        <w:t xml:space="preserve"> </w:t>
      </w:r>
      <w:r>
        <w:t xml:space="preserve">produce a</w:t>
      </w:r>
      <w:r>
        <w:t xml:space="preserve"> </w:t>
      </w:r>
      <w:r>
        <w:rPr>
          <w:rStyle w:val="VerbatimChar"/>
        </w:rPr>
        <w:t xml:space="preserve">training-effectiveness-record</w:t>
      </w:r>
      <w:r>
        <w:t xml:space="preserve"> </w:t>
      </w:r>
      <w:r>
        <w:t xml:space="preserve">JSON that passes the KSI-022</w:t>
      </w:r>
      <w:r>
        <w:t xml:space="preserve"> </w:t>
      </w:r>
      <w:r>
        <w:t xml:space="preserve">thresholds and bind it as</w:t>
      </w:r>
      <w:r>
        <w:t xml:space="preserve"> </w:t>
      </w:r>
      <w:r>
        <w:rPr>
          <w:b/>
          <w:bCs/>
        </w:rPr>
        <w:t xml:space="preserve">slot-08</w:t>
      </w:r>
      <w:r>
        <w:t xml:space="preserve"> </w:t>
      </w:r>
      <w:r>
        <w:t xml:space="preserve">evidence; then run</w:t>
      </w:r>
      <w:r>
        <w:t xml:space="preserve"> </w:t>
      </w:r>
      <w:r>
        <w:rPr>
          <w:rStyle w:val="VerbatimChar"/>
        </w:rPr>
        <w:t xml:space="preserve">&lt;engine&gt; oscal bundle</w:t>
      </w:r>
      <w:r>
        <w:t xml:space="preserve">-style generation, trace the AP→AR→POA&amp;M UUID links, and simulate a</w:t>
      </w:r>
      <w:r>
        <w:t xml:space="preserve"> </w:t>
      </w:r>
      <w:r>
        <w:t xml:space="preserve">completion-rate drop below 95% to watch the POA&amp;M entry auto-populate.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Vendor training:</w:t>
      </w:r>
      <w:r>
        <w:t xml:space="preserve"> </w:t>
      </w:r>
      <w:r>
        <w:t xml:space="preserve">CISA Learning and SANS (awareness program design),</w:t>
      </w:r>
      <w:r>
        <w:t xml:space="preserve"> </w:t>
      </w:r>
      <w:r>
        <w:t xml:space="preserve">FedRAMP PMO materials, NIST NICE (role mapping) — see Vol V Book 04 §Federal &amp;</w:t>
      </w:r>
      <w:r>
        <w:t xml:space="preserve"> </w:t>
      </w:r>
      <w:r>
        <w:t xml:space="preserve">compliance.</w:t>
      </w:r>
    </w:p>
    <w:p>
      <w:pPr>
        <w:pStyle w:val="FirstParagraph"/>
      </w:pPr>
      <w:r>
        <w:t xml:space="preserve">B8 runs last because it assembles what every other module produced. Its evidence</w:t>
      </w:r>
      <w:r>
        <w:t xml:space="preserve"> </w:t>
      </w:r>
      <w:r>
        <w:t xml:space="preserve">is the whole bundle: 29/29 KSI verdicts self-assessed against the series’</w:t>
      </w:r>
      <w:r>
        <w:t xml:space="preserve"> </w:t>
      </w:r>
      <w:r>
        <w:t xml:space="preserve">internal KSI decomposition (pending CR26 reconciliation and independent SCA),</w:t>
      </w:r>
      <w:r>
        <w:t xml:space="preserve"> </w:t>
      </w:r>
      <w:r>
        <w:t xml:space="preserve">a zero-item POA&amp;M as the</w:t>
      </w:r>
      <w:r>
        <w:t xml:space="preserve"> </w:t>
      </w:r>
      <w:r>
        <w:rPr>
          <w:i/>
          <w:iCs/>
        </w:rPr>
        <w:t xml:space="preserve">target</w:t>
      </w:r>
      <w:r>
        <w:t xml:space="preserve"> </w:t>
      </w:r>
      <w:r>
        <w:t xml:space="preserve">state (expected non-empty until then),</w:t>
      </w:r>
      <w:r>
        <w:t xml:space="preserve"> </w:t>
      </w:r>
      <w:r>
        <w:t xml:space="preserve">and the training record that closes the slot Volume V both teaches and is.</w:t>
      </w:r>
    </w:p>
    <w:bookmarkEnd w:id="18"/>
    <w:bookmarkStart w:id="19" w:name="X876fea81043d6b916c46390c94e67694d7827de"/>
    <w:p>
      <w:pPr>
        <w:pStyle w:val="Heading1"/>
      </w:pPr>
      <w:r>
        <w:t xml:space="preserve">10. The Capstone — One Module, Evidence-Complete</w:t>
      </w:r>
    </w:p>
    <w:p>
      <w:pPr>
        <w:pStyle w:val="FirstParagraph"/>
      </w:pPr>
      <w:r>
        <w:t xml:space="preserve">Pick one module (B1–B8). Implement or lab-simulate it end-to-end, land the</w:t>
      </w:r>
      <w:r>
        <w:t xml:space="preserve"> </w:t>
      </w:r>
      <w:r>
        <w:t xml:space="preserve">evidence where the slot mapping binds it, then regenerate the verdicts:</w:t>
      </w:r>
    </w:p>
    <w:p>
      <w:pPr>
        <w:pStyle w:val="SourceCode"/>
      </w:pPr>
      <w:r>
        <w:rPr>
          <w:rStyle w:val="OperatorTok"/>
        </w:rPr>
        <w:t xml:space="preserve">&lt;</w:t>
      </w:r>
      <w:r>
        <w:rPr>
          <w:rStyle w:val="NormalTok"/>
        </w:rPr>
        <w:t xml:space="preserve">engine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ksi </w:t>
      </w:r>
      <w:r>
        <w:rPr>
          <w:rStyle w:val="ExtensionTok"/>
        </w:rPr>
        <w:t xml:space="preserve">evaluate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--ir</w:t>
      </w:r>
      <w:r>
        <w:rPr>
          <w:rStyle w:val="NormalTok"/>
        </w:rPr>
        <w:t xml:space="preserve"> ./output/ir/tenant.ir.json </w:t>
      </w:r>
      <w:r>
        <w:rPr>
          <w:rStyle w:val="AttributeTok"/>
        </w:rPr>
        <w:t xml:space="preserve">--out</w:t>
      </w:r>
      <w:r>
        <w:rPr>
          <w:rStyle w:val="NormalTok"/>
        </w:rPr>
        <w:t xml:space="preserve"> ./output/ksi/tenant.ksi.json</w:t>
      </w:r>
      <w:r>
        <w:br/>
      </w:r>
      <w:r>
        <w:rPr>
          <w:rStyle w:val="OperatorTok"/>
        </w:rPr>
        <w:t xml:space="preserve">&lt;</w:t>
      </w:r>
      <w:r>
        <w:rPr>
          <w:rStyle w:val="NormalTok"/>
        </w:rPr>
        <w:t xml:space="preserve">engine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oscal </w:t>
      </w:r>
      <w:r>
        <w:rPr>
          <w:rStyle w:val="ExtensionTok"/>
        </w:rPr>
        <w:t xml:space="preserve">ksi-ar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--output</w:t>
      </w:r>
      <w:r>
        <w:rPr>
          <w:rStyle w:val="NormalTok"/>
        </w:rPr>
        <w:t xml:space="preserve"> exports/oscal/ksi-ar.json</w:t>
      </w:r>
    </w:p>
    <w:p>
      <w:pPr>
        <w:pStyle w:val="FirstParagraph"/>
      </w:pPr>
      <w:r>
        <w:t xml:space="preserve">Completion means the Assessment Results show your module’s slot verdict fed by</w:t>
      </w:r>
      <w:r>
        <w:t xml:space="preserve"> </w:t>
      </w:r>
      <w:r>
        <w:rPr>
          <w:b/>
          <w:bCs/>
        </w:rPr>
        <w:t xml:space="preserve">your</w:t>
      </w:r>
      <w:r>
        <w:t xml:space="preserve"> </w:t>
      </w:r>
      <w:r>
        <w:t xml:space="preserve">artifact — the same bar as the governance substrate’s Operator track (</w:t>
      </w:r>
      <w:r>
        <w:t xml:space="preserve">“clean</w:t>
      </w:r>
      <w:r>
        <w:t xml:space="preserve"> </w:t>
      </w:r>
      <w:r>
        <w:t xml:space="preserve">walker/drift run”</w:t>
      </w:r>
      <w:r>
        <w:t xml:space="preserve">), applied to the Compliance vertical. Score the result against Vol V</w:t>
      </w:r>
      <w:r>
        <w:t xml:space="preserve"> </w:t>
      </w:r>
      <w:r>
        <w:t xml:space="preserve">Book 03’s rubric ladder.</w:t>
      </w:r>
    </w:p>
    <w:bookmarkEnd w:id="19"/>
    <w:bookmarkStart w:id="20" w:name="module-sequencing-and-track-pairing"/>
    <w:p>
      <w:pPr>
        <w:pStyle w:val="Heading1"/>
      </w:pPr>
      <w:r>
        <w:t xml:space="preserve">11. Module Sequencing and Track Pairing</w:t>
      </w:r>
    </w:p>
    <w:p>
      <w:pPr>
        <w:pStyle w:val="FirstParagraph"/>
      </w:pPr>
      <w:r>
        <w:t xml:space="preserve">B1 → B2 → B3 → B4 is a real dependency chain: addressing before admission and</w:t>
      </w:r>
      <w:r>
        <w:t xml:space="preserve"> </w:t>
      </w:r>
      <w:r>
        <w:t xml:space="preserve">identity, identity before transport policy, transport before data placement.</w:t>
      </w:r>
      <w:r>
        <w:t xml:space="preserve"> </w:t>
      </w:r>
      <w:r>
        <w:t xml:space="preserve">B5–B7 run in parallel once B2’s identity layer exists; B8 runs last. Track A</w:t>
      </w:r>
      <w:r>
        <w:t xml:space="preserve"> </w:t>
      </w:r>
      <w:r>
        <w:t xml:space="preserve">(Book 01) modules interleave freely; many teams pair each B-module with its</w:t>
      </w:r>
      <w:r>
        <w:t xml:space="preserve"> </w:t>
      </w:r>
      <w:r>
        <w:t xml:space="preserve">A-module — B1↔A2, B2↔A1/A5, B3↔A1/A3, B4↔A1, B5↔A1/A5, B6↔A4/A6, B7↔A6/A7,</w:t>
      </w:r>
      <w:r>
        <w:t xml:space="preserve"> </w:t>
      </w:r>
      <w:r>
        <w:t xml:space="preserve">B8↔A8.</w:t>
      </w:r>
    </w:p>
    <w:p>
      <w:pPr>
        <w:pStyle w:val="TableCaption"/>
      </w:pPr>
      <w:r>
        <w:t xml:space="preserve">Track B modules — build cluster and the evidence slot each lands</w:t>
      </w:r>
    </w:p>
    <w:tbl>
      <w:tblPr>
        <w:tblStyle w:val="Table"/>
        <w:tblW w:type="auto" w:w="0"/>
        <w:tblLook w:firstRow="1" w:lastRow="0" w:firstColumn="0" w:lastColumn="0" w:noHBand="0" w:noVBand="0" w:val="0020"/>
        <w:tblCaption w:val="Track B modules — build cluster and the evidence slot each lands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Module</w:t>
            </w:r>
          </w:p>
        </w:tc>
        <w:tc>
          <w:tcPr/>
          <w:p>
            <w:pPr>
              <w:pStyle w:val="Compact"/>
            </w:pPr>
            <w:r>
              <w:t xml:space="preserve">Builds</w:t>
            </w:r>
          </w:p>
        </w:tc>
        <w:tc>
          <w:tcPr/>
          <w:p>
            <w:pPr>
              <w:pStyle w:val="Compact"/>
            </w:pPr>
            <w:r>
              <w:t xml:space="preserve">Lands evidence in</w:t>
            </w:r>
          </w:p>
        </w:tc>
      </w:tr>
      <w:tr>
        <w:tc>
          <w:tcPr/>
          <w:p>
            <w:pPr>
              <w:pStyle w:val="Compact"/>
            </w:pPr>
            <w:r>
              <w:t xml:space="preserve">B1</w:t>
            </w:r>
          </w:p>
        </w:tc>
        <w:tc>
          <w:tcPr/>
          <w:p>
            <w:pPr>
              <w:pStyle w:val="Compact"/>
            </w:pPr>
            <w:r>
              <w:t xml:space="preserve">Vol I Bk 01</w:t>
            </w:r>
          </w:p>
        </w:tc>
        <w:tc>
          <w:tcPr/>
          <w:p>
            <w:pPr>
              <w:pStyle w:val="Compact"/>
            </w:pPr>
            <w:r>
              <w:t xml:space="preserve">slot 3 (network — CM-8 addressing anchor)</w:t>
            </w:r>
          </w:p>
        </w:tc>
      </w:tr>
      <w:tr>
        <w:tc>
          <w:tcPr/>
          <w:p>
            <w:pPr>
              <w:pStyle w:val="Compact"/>
            </w:pPr>
            <w:r>
              <w:t xml:space="preserve">B2</w:t>
            </w:r>
          </w:p>
        </w:tc>
        <w:tc>
          <w:tcPr/>
          <w:p>
            <w:pPr>
              <w:pStyle w:val="Compact"/>
            </w:pPr>
            <w:r>
              <w:t xml:space="preserve">Vol I Bk 02–04</w:t>
            </w:r>
          </w:p>
        </w:tc>
        <w:tc>
          <w:tcPr/>
          <w:p>
            <w:pPr>
              <w:pStyle w:val="Compact"/>
            </w:pPr>
            <w:r>
              <w:t xml:space="preserve">slot 1 (identity); slot 5 pending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B3</w:t>
            </w:r>
          </w:p>
        </w:tc>
        <w:tc>
          <w:tcPr/>
          <w:p>
            <w:pPr>
              <w:pStyle w:val="Compact"/>
            </w:pPr>
            <w:r>
              <w:t xml:space="preserve">Vol I Bk 05–07</w:t>
            </w:r>
          </w:p>
        </w:tc>
        <w:tc>
          <w:tcPr/>
          <w:p>
            <w:pPr>
              <w:pStyle w:val="Compact"/>
            </w:pPr>
            <w:r>
              <w:t xml:space="preserve">slot 3 (network)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B4</w:t>
            </w:r>
          </w:p>
        </w:tc>
        <w:tc>
          <w:tcPr/>
          <w:p>
            <w:pPr>
              <w:pStyle w:val="Compact"/>
            </w:pPr>
            <w:r>
              <w:t xml:space="preserve">Vol II Bk 01–03</w:t>
            </w:r>
          </w:p>
        </w:tc>
        <w:tc>
          <w:tcPr/>
          <w:p>
            <w:pPr>
              <w:pStyle w:val="Compact"/>
            </w:pPr>
            <w:r>
              <w:t xml:space="preserve">slot 1 (identity)</w:t>
            </w:r>
          </w:p>
        </w:tc>
      </w:tr>
      <w:tr>
        <w:tc>
          <w:tcPr/>
          <w:p>
            <w:pPr>
              <w:pStyle w:val="Compact"/>
            </w:pPr>
            <w:r>
              <w:t xml:space="preserve">B5</w:t>
            </w:r>
          </w:p>
        </w:tc>
        <w:tc>
          <w:tcPr/>
          <w:p>
            <w:pPr>
              <w:pStyle w:val="Compact"/>
            </w:pPr>
            <w:r>
              <w:t xml:space="preserve">Vol III Bk 01</w:t>
            </w:r>
          </w:p>
        </w:tc>
        <w:tc>
          <w:tcPr/>
          <w:p>
            <w:pPr>
              <w:pStyle w:val="Compact"/>
            </w:pPr>
            <w:r>
              <w:t xml:space="preserve">slots 1 + 5</w:t>
            </w:r>
          </w:p>
        </w:tc>
      </w:tr>
      <w:tr>
        <w:tc>
          <w:tcPr/>
          <w:p>
            <w:pPr>
              <w:pStyle w:val="Compact"/>
            </w:pPr>
            <w:r>
              <w:t xml:space="preserve">B6</w:t>
            </w:r>
          </w:p>
        </w:tc>
        <w:tc>
          <w:tcPr/>
          <w:p>
            <w:pPr>
              <w:pStyle w:val="Compact"/>
            </w:pPr>
            <w:r>
              <w:t xml:space="preserve">Vol III Bk 02–07</w:t>
            </w:r>
          </w:p>
        </w:tc>
        <w:tc>
          <w:tcPr/>
          <w:p>
            <w:pPr>
              <w:pStyle w:val="Compact"/>
            </w:pPr>
            <w:r>
              <w:t xml:space="preserve">slots 4 + 5 + 6</w:t>
            </w:r>
          </w:p>
        </w:tc>
      </w:tr>
      <w:tr>
        <w:tc>
          <w:tcPr/>
          <w:p>
            <w:pPr>
              <w:pStyle w:val="Compact"/>
            </w:pPr>
            <w:r>
              <w:t xml:space="preserve">B7</w:t>
            </w:r>
          </w:p>
        </w:tc>
        <w:tc>
          <w:tcPr/>
          <w:p>
            <w:pPr>
              <w:pStyle w:val="Compact"/>
            </w:pPr>
            <w:r>
              <w:t xml:space="preserve">Vol IV Bk 01–04</w:t>
            </w:r>
          </w:p>
        </w:tc>
        <w:tc>
          <w:tcPr/>
          <w:p>
            <w:pPr>
              <w:pStyle w:val="Compact"/>
            </w:pPr>
            <w:r>
              <w:t xml:space="preserve">slots 6 + 7</w:t>
            </w:r>
          </w:p>
        </w:tc>
      </w:tr>
      <w:tr>
        <w:tc>
          <w:tcPr/>
          <w:p>
            <w:pPr>
              <w:pStyle w:val="Compact"/>
            </w:pPr>
            <w:r>
              <w:t xml:space="preserve">B8</w:t>
            </w:r>
          </w:p>
        </w:tc>
        <w:tc>
          <w:tcPr/>
          <w:p>
            <w:pPr>
              <w:pStyle w:val="Compact"/>
            </w:pPr>
            <w:r>
              <w:t xml:space="preserve">Vol IV Bk 05–06</w:t>
            </w:r>
          </w:p>
        </w:tc>
        <w:tc>
          <w:tcPr/>
          <w:p>
            <w:pPr>
              <w:pStyle w:val="Compact"/>
            </w:pPr>
            <w:r>
              <w:t xml:space="preserve">slot 8; assembles all eight</w:t>
            </w:r>
          </w:p>
        </w:tc>
      </w:tr>
    </w:tbl>
    <w:bookmarkEnd w:id="20"/>
    <w:bookmarkStart w:id="21" w:name="series-context-vol-v-book-02"/>
    <w:p>
      <w:pPr>
        <w:pStyle w:val="Heading1"/>
      </w:pPr>
      <w:r>
        <w:t xml:space="preserve">12. Series Context — Vol V Book 02</w:t>
      </w:r>
    </w:p>
    <w:p>
      <w:pPr>
        <w:pStyle w:val="FirstParagraph"/>
      </w:pPr>
      <w:r>
        <w:t xml:space="preserve">The implementation track is the engineer’s half of Volume V. It builds the same</w:t>
      </w:r>
      <w:r>
        <w:t xml:space="preserve"> </w:t>
      </w:r>
      <w:r>
        <w:t xml:space="preserve">Volumes I–IV sources the compliance track (Vol V Book 01) reads, and it exists to</w:t>
      </w:r>
      <w:r>
        <w:t xml:space="preserve"> </w:t>
      </w:r>
      <w:r>
        <w:t xml:space="preserve">enforce one discipline the rest of the series assumes but never states as a rule:</w:t>
      </w:r>
      <w:r>
        <w:t xml:space="preserve"> </w:t>
      </w:r>
      <w:r>
        <w:t xml:space="preserve">a control is not closed until its evidence is bound where the KSI can read it.</w:t>
      </w:r>
      <w:r>
        <w:t xml:space="preserve"> </w:t>
      </w:r>
      <w:r>
        <w:t xml:space="preserve">The lab environments the modules call for — fixture, trial-tenant, and</w:t>
      </w:r>
      <w:r>
        <w:t xml:space="preserve"> </w:t>
      </w:r>
      <w:r>
        <w:t xml:space="preserve">product-eval tiers — are stood up in Vol V Book 04; the artifacts the modules</w:t>
      </w:r>
      <w:r>
        <w:t xml:space="preserve"> </w:t>
      </w:r>
      <w:r>
        <w:t xml:space="preserve">produce are scored against Vol V Book 03. Build it, land it, and the training</w:t>
      </w:r>
      <w:r>
        <w:t xml:space="preserve"> </w:t>
      </w:r>
      <w:r>
        <w:t xml:space="preserve">slot (KSI-CED) that Volume V both teaches and is closes on the evidence of the</w:t>
      </w:r>
      <w:r>
        <w:t xml:space="preserve"> </w:t>
      </w:r>
      <w:r>
        <w:t xml:space="preserve">work itself.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Federal Compliance — Vol V Book 02 of the series. Volume V is</w:t>
      </w:r>
      <w:r>
        <w:rPr>
          <w:i/>
          <w:iCs/>
        </w:rPr>
        <w:t xml:space="preserve"> </w:t>
      </w:r>
      <w:r>
        <w:rPr>
          <w:i/>
          <w:iCs/>
        </w:rPr>
        <w:t xml:space="preserve">the enablement layer; this book is its implementation track, the counterpart to</w:t>
      </w:r>
      <w:r>
        <w:rPr>
          <w:i/>
          <w:iCs/>
        </w:rPr>
        <w:t xml:space="preserve"> </w:t>
      </w:r>
      <w:r>
        <w:rPr>
          <w:i/>
          <w:iCs/>
        </w:rPr>
        <w:t xml:space="preserve">Vol V Book 01 (the compliance track). Every module ends by landing an evidence</w:t>
      </w:r>
      <w:r>
        <w:rPr>
          <w:i/>
          <w:iCs/>
        </w:rPr>
        <w:t xml:space="preserve"> </w:t>
      </w:r>
      <w:r>
        <w:rPr>
          <w:i/>
          <w:iCs/>
        </w:rPr>
        <w:t xml:space="preserve">artifact a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fedramp_aan_catalog</w:t>
      </w:r>
      <w:r>
        <w:rPr>
          <w:i/>
          <w:iCs/>
        </w:rPr>
        <w:t xml:space="preserve"> </w:t>
      </w:r>
      <w:r>
        <w:rPr>
          <w:i/>
          <w:iCs/>
        </w:rPr>
        <w:t xml:space="preserve">slot mapping can bind. Control-closure and KSI</w:t>
      </w:r>
      <w:r>
        <w:rPr>
          <w:i/>
          <w:iCs/>
        </w:rPr>
        <w:t xml:space="preserve"> </w:t>
      </w:r>
      <w:r>
        <w:rPr>
          <w:i/>
          <w:iCs/>
        </w:rPr>
        <w:t xml:space="preserve">claims are self-assessed against the series’ internal KSI decomposition (modeled on the</w:t>
      </w:r>
      <w:r>
        <w:rPr>
          <w:i/>
          <w:iCs/>
        </w:rPr>
        <w:t xml:space="preserve"> </w:t>
      </w:r>
      <w:r>
        <w:rPr>
          <w:i/>
          <w:iCs/>
        </w:rPr>
        <w:t xml:space="preserve">FedRAMP 20x CR26 KSI schema), pending independent security control assessment</w:t>
      </w:r>
      <w:r>
        <w:rPr>
          <w:i/>
          <w:iCs/>
        </w:rPr>
        <w:t xml:space="preserve"> </w:t>
      </w:r>
      <w:r>
        <w:rPr>
          <w:i/>
          <w:iCs/>
        </w:rPr>
        <w:t xml:space="preserve">(SCA) and formal FedRAMP PMO / AO review.</w:t>
      </w:r>
    </w:p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 V Book 02 — Federal Compliance — The Implementation Track</dc:title>
  <dc:creator>Federal Cloud Services</dc:creator>
  <cp:keywords/>
  <dcterms:created xsi:type="dcterms:W3CDTF">2026-10-19T10:10:27Z</dcterms:created>
  <dcterms:modified xsi:type="dcterms:W3CDTF">2026-10-19T10:10:27Z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gency">
    <vt:lpwstr/>
  </property>
  <property fmtid="{D5CDD505-2E9C-101B-9397-08002B2CF9AE}" pid="3" name="aliases">
    <vt:lpwstr/>
  </property>
  <property fmtid="{D5CDD505-2E9C-101B-9397-08002B2CF9AE}" pid="4" name="authors">
    <vt:lpwstr/>
  </property>
  <property fmtid="{D5CDD505-2E9C-101B-9397-08002B2CF9AE}" pid="5" name="biblio-config">
    <vt:lpwstr>True</vt:lpwstr>
  </property>
  <property fmtid="{D5CDD505-2E9C-101B-9397-08002B2CF9AE}" pid="6" name="by-author">
    <vt:lpwstr/>
  </property>
  <property fmtid="{D5CDD505-2E9C-101B-9397-08002B2CF9AE}" pid="7" name="date">
    <vt:lpwstr>2026-07-18 10:20 ET</vt:lpwstr>
  </property>
  <property fmtid="{D5CDD505-2E9C-101B-9397-08002B2CF9AE}" pid="8" name="date-format">
    <vt:lpwstr>YYYY-MM-DD HH:mm [ET]</vt:lpwstr>
  </property>
  <property fmtid="{D5CDD505-2E9C-101B-9397-08002B2CF9AE}" pid="9" name="execute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labels">
    <vt:lpwstr/>
  </property>
  <property fmtid="{D5CDD505-2E9C-101B-9397-08002B2CF9AE}" pid="14" name="out-width">
    <vt:lpwstr>100%</vt:lpwstr>
  </property>
  <property fmtid="{D5CDD505-2E9C-101B-9397-08002B2CF9AE}" pid="15" name="subtitle">
    <vt:lpwstr>Building the Volumes I–IV architectures and landing the evidence the compliance track scores — eight engineering modules, each ending in a bindable artifact</vt:lpwstr>
  </property>
  <property fmtid="{D5CDD505-2E9C-101B-9397-08002B2CF9AE}" pid="16" name="toc-title">
    <vt:lpwstr>Table of contents</vt:lpwstr>
  </property>
</Properties>
</file>