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V Book 03 — Federal Compliance — Assessment, Rubrics &amp; Certification</w:t>
      </w:r>
    </w:p>
    <w:p>
      <w:pPr>
        <w:pStyle w:val="Subtitle"/>
      </w:pPr>
      <w:r>
        <w:t xml:space="preserve">The four-level rubric ladder, the two capstones’ scoring, the KSI Closure Necessity Matrix as the exam, and the Compliance Practitioner / Assessor credentials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2026-07-18 10:20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"1-2"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06:20 ET</w:t>
      </w:r>
    </w:p>
    <w:bookmarkEnd w:id="9"/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The compliance track (Vol V Book 01) and the implementation track (Vol V</w:t>
      </w:r>
      <w:r>
        <w:t xml:space="preserve"> </w:t>
      </w:r>
      <w:r>
        <w:t xml:space="preserve">Book 02) each end in a capstone. This book grades them, and it turns the grade</w:t>
      </w:r>
      <w:r>
        <w:t xml:space="preserve"> </w:t>
      </w:r>
      <w:r>
        <w:t xml:space="preserve">into a credential. It supplies three things: a</w:t>
      </w:r>
      <w:r>
        <w:t xml:space="preserve"> </w:t>
      </w:r>
      <w:r>
        <w:rPr>
          <w:b/>
          <w:bCs/>
        </w:rPr>
        <w:t xml:space="preserve">rubric ladder</w:t>
      </w:r>
      <w:r>
        <w:t xml:space="preserve"> </w:t>
      </w:r>
      <w:r>
        <w:t xml:space="preserve">that scores an</w:t>
      </w:r>
      <w:r>
        <w:t xml:space="preserve"> </w:t>
      </w:r>
      <w:r>
        <w:t xml:space="preserve">evidence claim the way an assessor would; the</w:t>
      </w:r>
      <w:r>
        <w:t xml:space="preserve"> </w:t>
      </w:r>
      <w:r>
        <w:rPr>
          <w:b/>
          <w:bCs/>
        </w:rPr>
        <w:t xml:space="preserve">KSI Closure Necessity Matrix</w:t>
      </w:r>
      <w:r>
        <w:t xml:space="preserve">,</w:t>
      </w:r>
      <w:r>
        <w:t xml:space="preserve"> </w:t>
      </w:r>
      <w:r>
        <w:t xml:space="preserve">the authoritative one-row-per-family table that doubles as the certification exam;</w:t>
      </w:r>
      <w:r>
        <w:t xml:space="preserve"> </w:t>
      </w:r>
      <w:r>
        <w:t xml:space="preserve">and the definition of the two credentials the Academy confers —</w:t>
      </w:r>
      <w:r>
        <w:t xml:space="preserve"> </w:t>
      </w:r>
      <w:r>
        <w:rPr>
          <w:b/>
          <w:bCs/>
        </w:rPr>
        <w:t xml:space="preserve">Compliance</w:t>
      </w:r>
      <w:r>
        <w:rPr>
          <w:b/>
          <w:bCs/>
        </w:rPr>
        <w:t xml:space="preserve"> </w:t>
      </w:r>
      <w:r>
        <w:rPr>
          <w:b/>
          <w:bCs/>
        </w:rPr>
        <w:t xml:space="preserve">Practitioner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Compliance Assessor</w:t>
      </w:r>
      <w:r>
        <w:t xml:space="preserve">.</w:t>
      </w:r>
    </w:p>
    <w:p>
      <w:pPr>
        <w:pStyle w:val="BodyText"/>
      </w:pPr>
      <w:r>
        <w:t xml:space="preserve">The rubric language is deliberately the language an assessor uses, because the</w:t>
      </w:r>
      <w:r>
        <w:t xml:space="preserve"> </w:t>
      </w:r>
      <w:r>
        <w:t xml:space="preserve">competency being certified is exactly the competency a 3PAO exercises: not</w:t>
      </w:r>
      <w:r>
        <w:t xml:space="preserve"> </w:t>
      </w:r>
      <w:r>
        <w:t xml:space="preserve">“can</w:t>
      </w:r>
      <w:r>
        <w:t xml:space="preserve"> </w:t>
      </w:r>
      <w:r>
        <w:t xml:space="preserve">you assert a control is met”</w:t>
      </w:r>
      <w:r>
        <w:t xml:space="preserve"> </w:t>
      </w:r>
      <w:r>
        <w:t xml:space="preserve">but</w:t>
      </w:r>
      <w:r>
        <w:t xml:space="preserve"> </w:t>
      </w:r>
      <w:r>
        <w:t xml:space="preserve">“can you trace and evidence the closure, and</w:t>
      </w:r>
      <w:r>
        <w:t xml:space="preserve"> </w:t>
      </w:r>
      <w:r>
        <w:t xml:space="preserve">say why no alternate mechanism closes it.”</w:t>
      </w:r>
      <w:r>
        <w:t xml:space="preserve"> </w:t>
      </w:r>
      <w:r>
        <w:t xml:space="preserve">That competency is the AT-2/AT-3</w:t>
      </w:r>
      <w:r>
        <w:t xml:space="preserve"> </w:t>
      </w:r>
      <w:r>
        <w:t xml:space="preserve">training closure the program’s own authorization package depends on (KSI-CED) —</w:t>
      </w:r>
      <w:r>
        <w:t xml:space="preserve"> </w:t>
      </w:r>
      <w:r>
        <w:t xml:space="preserve">so this book is both the Academy’s grading instrument and one of the series’ own</w:t>
      </w:r>
      <w:r>
        <w:t xml:space="preserve"> </w:t>
      </w:r>
      <w:r>
        <w:t xml:space="preserve">evidence artifacts.</w:t>
      </w:r>
    </w:p>
    <w:bookmarkEnd w:id="10"/>
    <w:bookmarkStart w:id="11" w:name="the-scale-applies-to-every-slot"/>
    <w:p>
      <w:pPr>
        <w:pStyle w:val="Heading1"/>
      </w:pPr>
      <w:r>
        <w:t xml:space="preserve">2. The Scale (Applies to Every Slot)</w:t>
      </w:r>
    </w:p>
    <w:p>
      <w:pPr>
        <w:pStyle w:val="TableCaption"/>
      </w:pPr>
      <w:r>
        <w:t xml:space="preserve">The four-level assessment scale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he four-level assessment scale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Level</w:t>
            </w:r>
          </w:p>
        </w:tc>
        <w:tc>
          <w:tcPr/>
          <w:p>
            <w:pPr>
              <w:pStyle w:val="Compact"/>
            </w:pPr>
            <w:r>
              <w:t xml:space="preserve">Name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Missing</w:t>
            </w:r>
          </w:p>
        </w:tc>
        <w:tc>
          <w:tcPr/>
          <w:p>
            <w:pPr>
              <w:pStyle w:val="Compact"/>
            </w:pPr>
            <w:r>
              <w:t xml:space="preserve">Slot not addressed, or addressed without reference to the books or the mapping YAML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Named</w:t>
            </w:r>
          </w:p>
        </w:tc>
        <w:tc>
          <w:tcPr/>
          <w:p>
            <w:pPr>
              <w:pStyle w:val="Compact"/>
            </w:pPr>
            <w:r>
              <w:t xml:space="preserve">Feeding books and KSI category named correctly, but controls or evidence flow are wrong/absent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Traced</w:t>
            </w:r>
          </w:p>
        </w:tc>
        <w:tc>
          <w:tcPr/>
          <w:p>
            <w:pPr>
              <w:pStyle w:val="Compact"/>
            </w:pPr>
            <w:r>
              <w:t xml:space="preserve">book → NIST anchor → KSI category → evidence-source chain is complete and correct against the slot mapping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Assessor-ready</w:t>
            </w:r>
          </w:p>
        </w:tc>
        <w:tc>
          <w:tcPr/>
          <w:p>
            <w:pPr>
              <w:pStyle w:val="Compact"/>
            </w:pPr>
            <w:r>
              <w:t xml:space="preserve">Level 2</w:t>
            </w:r>
            <w:r>
              <w:t xml:space="preserve"> </w:t>
            </w:r>
            <w:r>
              <w:rPr>
                <w:b/>
                <w:bCs/>
              </w:rPr>
              <w:t xml:space="preserve">plus</w:t>
            </w:r>
            <w:r>
              <w:t xml:space="preserve"> </w:t>
            </w:r>
            <w:r>
              <w:t xml:space="preserve">a real verdict from</w:t>
            </w:r>
            <w:r>
              <w:t xml:space="preserve"> </w:t>
            </w:r>
            <w:r>
              <w:rPr>
                <w:rStyle w:val="VerbatimChar"/>
              </w:rPr>
              <w:t xml:space="preserve">&lt;engine&gt; oscal ksi-ar</w:t>
            </w:r>
            <w:r>
              <w:t xml:space="preserve">, an honest gap statement for anything not-evaluated, and the deadline that gap answers to</w:t>
            </w:r>
          </w:p>
        </w:tc>
      </w:tr>
    </w:tbl>
    <w:p>
      <w:pPr>
        <w:pStyle w:val="BodyText"/>
      </w:pPr>
      <w:r>
        <w:rPr>
          <w:b/>
          <w:bCs/>
        </w:rPr>
        <w:t xml:space="preserve">Pass bar.</w:t>
      </w:r>
      <w:r>
        <w:t xml:space="preserve"> </w:t>
      </w:r>
      <w:r>
        <w:t xml:space="preserve">Every slot at level 2 or higher,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at least three slots at</w:t>
      </w:r>
      <w:r>
        <w:t xml:space="preserve"> </w:t>
      </w:r>
      <w:r>
        <w:t xml:space="preserve">level 3. All eight at level 3 is the</w:t>
      </w:r>
      <w:r>
        <w:t xml:space="preserve"> </w:t>
      </w:r>
      <w:r>
        <w:t xml:space="preserve">“distinguished”</w:t>
      </w:r>
      <w:r>
        <w:t xml:space="preserve"> </w:t>
      </w:r>
      <w:r>
        <w:t xml:space="preserve">outcome — it is, in</w:t>
      </w:r>
      <w:r>
        <w:t xml:space="preserve"> </w:t>
      </w:r>
      <w:r>
        <w:t xml:space="preserve">substance, a ConMon narrative an assessor could read.</w:t>
      </w:r>
    </w:p>
    <w:bookmarkEnd w:id="11"/>
    <w:bookmarkStart w:id="12" w:name="X64b54053964b77498c4d28809746807f24df02e"/>
    <w:p>
      <w:pPr>
        <w:pStyle w:val="Heading1"/>
      </w:pPr>
      <w:r>
        <w:t xml:space="preserve">3. Common Checks (Scored Once, Apply to the Whole Capstone)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Check</w:t>
            </w:r>
          </w:p>
        </w:tc>
        <w:tc>
          <w:tcPr/>
          <w:p>
            <w:pPr>
              <w:pStyle w:val="Compact"/>
            </w:pPr>
            <w:r>
              <w:t xml:space="preserve">Yes/No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ksi-ar</w:t>
            </w:r>
            <w:r>
              <w:t xml:space="preserve"> </w:t>
            </w:r>
            <w:r>
              <w:t xml:space="preserve">output file is attached/linked, not just described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Every control ID cited appears in the slot mapping or the book itself (no invented controls)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Scaffold / not-evaluated rules are stated as gaps, not glossed as satisfied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Each gap names its forcing deadline (e.g., BOD 26-04 Dec 7 2026; 20x mandatory Jan 1 2027)</w:t>
            </w: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21" w:name="per-slot-rubrics"/>
    <w:p>
      <w:pPr>
        <w:pStyle w:val="Heading1"/>
      </w:pPr>
      <w:r>
        <w:t xml:space="preserve">4. Per-Slot Rubrics</w:t>
      </w:r>
    </w:p>
    <w:p>
      <w:pPr>
        <w:pStyle w:val="FirstParagraph"/>
      </w:pPr>
      <w:r>
        <w:t xml:space="preserve">Each rubric names the feeding books by volume coordinate, the level-2 evidence,</w:t>
      </w:r>
      <w:r>
        <w:t xml:space="preserve"> </w:t>
      </w:r>
      <w:r>
        <w:t xml:space="preserve">and what level 3 adds. They mirror the eight modules of Book 01.</w:t>
      </w:r>
    </w:p>
    <w:bookmarkStart w:id="13" w:name="slot-1-identity-ksi-iam"/>
    <w:p>
      <w:pPr>
        <w:pStyle w:val="Heading2"/>
      </w:pPr>
      <w:r>
        <w:t xml:space="preserve">4.1 Slot 1 — Identity (KSI-IAM)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03/04/05 · Vol II Bk 01 · Vol III Bk 01 named (Vol II Bk 02 procedural)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IA-2(+1/2/11), IA-5, IA-11, AC-2(+1), AC-3, AC-5/6 family, AC-17, CA-7 mapped to the right book</w:t>
            </w:r>
          </w:p>
        </w:tc>
        <w:tc>
          <w:tcPr/>
          <w:p>
            <w:pPr>
              <w:pStyle w:val="Compact"/>
            </w:pPr>
            <w:r>
              <w:t xml:space="preserve">Before/after table for at least one AC-6 enhancement (Vol III Bk 01 style)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Sign-in/risk logs named as the source</w:t>
            </w:r>
          </w:p>
        </w:tc>
        <w:tc>
          <w:tcPr/>
          <w:p>
            <w:pPr>
              <w:pStyle w:val="Compact"/>
            </w:pPr>
            <w:r>
              <w:t xml:space="preserve">A privileged-role trace: PIM design → control → KSI rule → audit-log entry</w:t>
            </w:r>
          </w:p>
        </w:tc>
      </w:tr>
    </w:tbl>
    <w:bookmarkEnd w:id="13"/>
    <w:bookmarkStart w:id="14" w:name="slot-2-addressing-ksi-piy"/>
    <w:p>
      <w:pPr>
        <w:pStyle w:val="Heading2"/>
      </w:pPr>
      <w:r>
        <w:t xml:space="preserve">4.2 Slot 2 — Addressing (KSI-PIY)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CM-8 / AC-4 anchors; the 16-control closure claim attributed to the roadmap, not asserted as fact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IPAM inventory named as the attestation</w:t>
            </w:r>
          </w:p>
        </w:tc>
        <w:tc>
          <w:tcPr/>
          <w:p>
            <w:pPr>
              <w:pStyle w:val="Compact"/>
            </w:pPr>
            <w:r>
              <w:t xml:space="preserve">An actual inventory artifact (vendor export or DDI-lab fixture) referenced from the slot-02 mapping</w:t>
            </w:r>
          </w:p>
        </w:tc>
      </w:tr>
    </w:tbl>
    <w:bookmarkEnd w:id="14"/>
    <w:bookmarkStart w:id="15" w:name="slot-3-network-ksi-cna"/>
    <w:p>
      <w:pPr>
        <w:pStyle w:val="Heading2"/>
      </w:pPr>
      <w:r>
        <w:t xml:space="preserve">4.3 Slot 3 — Network (KSI-CNA)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05/06/07 · Vol II Bk 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SC-8 / SC-7 / CA-7 anchors; Vol II Bk 03’s SC/SI depth distinguished from the transport books’ argument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One application-aware path policy mapped to SC-8</w:t>
            </w:r>
          </w:p>
        </w:tc>
        <w:tc>
          <w:tcPr/>
          <w:p>
            <w:pPr>
              <w:pStyle w:val="Compact"/>
            </w:pPr>
            <w:r>
              <w:t xml:space="preserve">The CA-7 continuous signal that proves the policy stays enforced, named concretely; the customer-owned SC-7 edge (Vol I Bk 07) called out</w:t>
            </w:r>
          </w:p>
        </w:tc>
      </w:tr>
    </w:tbl>
    <w:bookmarkEnd w:id="15"/>
    <w:bookmarkStart w:id="16" w:name="slot-4-telemetry-ksi-mla"/>
    <w:p>
      <w:pPr>
        <w:pStyle w:val="Heading2"/>
      </w:pPr>
      <w:r>
        <w:t xml:space="preserve">4.4 Slot 4 — Telemetry (KSI-MLA)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III Bk 02/05/06/07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CA-7 / SI-4 anchors; RA-5 family, SI-2, AU-6/7/8/11, IR-4/6/8 assigned to the right book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KEV-scenario trace: Defender VM finding → Sentinel incident → SI-4/RA-5 closure</w:t>
            </w:r>
          </w:p>
        </w:tc>
        <w:tc>
          <w:tcPr/>
          <w:p>
            <w:pPr>
              <w:pStyle w:val="Compact"/>
            </w:pPr>
            <w:r>
              <w:t xml:space="preserve">A fired-rule artifact plus the AU-11 retention argument, correlated through the Vol III Bk 07 evidence fabric</w:t>
            </w:r>
          </w:p>
        </w:tc>
      </w:tr>
    </w:tbl>
    <w:bookmarkEnd w:id="16"/>
    <w:bookmarkStart w:id="17" w:name="slot-5-endpoint-ksi-piy"/>
    <w:p>
      <w:pPr>
        <w:pStyle w:val="Heading2"/>
      </w:pPr>
      <w:r>
        <w:t xml:space="preserve">4.5 Slot 5 — Endpoint (KSI-PIY)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 Bk 02 · Vol III Bk 01/03/04 · Vol IV Bk 04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CM-8 / IA-3 anchors; SI-2 remediation (Vol III Bk 03); CSPM/CNAPP exposure (Vol III Bk 04); PT entry points (Vol IV Bk 04)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Endpoint-inventory statement covering device identity, completeness, and remediation actuation</w:t>
            </w:r>
          </w:p>
        </w:tc>
        <w:tc>
          <w:tcPr/>
          <w:p>
            <w:pPr>
              <w:pStyle w:val="Compact"/>
            </w:pPr>
            <w:r>
              <w:t xml:space="preserve">The PII-handling endpoint subset called out with its Vol IV Bk 04 transparency treatment</w:t>
            </w:r>
          </w:p>
        </w:tc>
      </w:tr>
    </w:tbl>
    <w:bookmarkEnd w:id="17"/>
    <w:bookmarkStart w:id="18" w:name="Xee9a45a9ca9425b969aff347db821642f59e44d"/>
    <w:p>
      <w:pPr>
        <w:pStyle w:val="Heading2"/>
      </w:pPr>
      <w:r>
        <w:t xml:space="preserve">4.6 Slot 6 — Security Configuration &amp; Change (KSI-CMT)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III Bk 04/06 · Vol IV Bk 02/03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CM-2 / AC-4 anchors; SR family from Vol IV Bk 02; PM family from Vol IV Bk 03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The BOD 26-04 submission story: SBOM artifacts → KSI-011–014 activation</w:t>
            </w:r>
          </w:p>
        </w:tc>
        <w:tc>
          <w:tcPr/>
          <w:p>
            <w:pPr>
              <w:pStyle w:val="Compact"/>
            </w:pPr>
            <w:r>
              <w:t xml:space="preserve">An actual SBOM/VDR artifact, and the Vol IV Bk 06 submission cadence stated against the Dec 7 2026 gate</w:t>
            </w:r>
          </w:p>
        </w:tc>
      </w:tr>
    </w:tbl>
    <w:bookmarkEnd w:id="18"/>
    <w:bookmarkStart w:id="19" w:name="slot-7-continuity-ksi-rpl"/>
    <w:p>
      <w:pPr>
        <w:pStyle w:val="Heading2"/>
      </w:pPr>
      <w:r>
        <w:t xml:space="preserve">4.7 Slot 7 — Continuity (KSI-RPL)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IV Bk 01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CP-2, CP-3, CP-4, CP-6, CP-7, CP-8, CP-9, CP-10 with enhancement counts right (CP-5 withdrawn in Rev 5, incorporated into CP-2)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One contingency-test exercise mapped to CP-4 via the slot-07 binding</w:t>
            </w:r>
          </w:p>
        </w:tc>
        <w:tc>
          <w:tcPr/>
          <w:p>
            <w:pPr>
              <w:pStyle w:val="Compact"/>
            </w:pPr>
            <w:r>
              <w:t xml:space="preserve">A tabletop after-action report with findings and owners — a zero-finding report scores 0 here, per Vol IV Bk 01</w:t>
            </w:r>
          </w:p>
        </w:tc>
      </w:tr>
    </w:tbl>
    <w:bookmarkEnd w:id="19"/>
    <w:bookmarkStart w:id="20" w:name="slot-8-training-ksi-ced"/>
    <w:p>
      <w:pPr>
        <w:pStyle w:val="Heading2"/>
      </w:pPr>
      <w:r>
        <w:t xml:space="preserve">4.8 Slot 8 — Training (KSI-CED)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Level 2 evidence</w:t>
            </w:r>
          </w:p>
        </w:tc>
        <w:tc>
          <w:tcPr/>
          <w:p>
            <w:pPr>
              <w:pStyle w:val="Compact"/>
            </w:pPr>
            <w:r>
              <w:t xml:space="preserve">Level 3 adds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Books</w:t>
            </w:r>
          </w:p>
        </w:tc>
        <w:tc>
          <w:tcPr/>
          <w:p>
            <w:pPr>
              <w:pStyle w:val="Compact"/>
            </w:pPr>
            <w:r>
              <w:t xml:space="preserve">Vol IV Bk 05 (Vol IV Bk 06 as the freshness/ConMon context)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Controls</w:t>
            </w:r>
          </w:p>
        </w:tc>
        <w:tc>
          <w:tcPr/>
          <w:p>
            <w:pPr>
              <w:pStyle w:val="Compact"/>
            </w:pPr>
            <w:r>
              <w:t xml:space="preserve">AT-2(+1/+2), AT-3(+3/+5), AT-4, CP-3, IR-2 mapped to the four training dimensions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Evidence flow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training-effectiveness-record</w:t>
            </w:r>
            <w:r>
              <w:t xml:space="preserve"> </w:t>
            </w:r>
            <w:r>
              <w:t xml:space="preserve">JSON named as the KSI-022 evidence contract, with the ≥95% thresholds</w:t>
            </w:r>
          </w:p>
        </w:tc>
        <w:tc>
          <w:tcPr/>
          <w:p>
            <w:pPr>
              <w:pStyle w:val="Compact"/>
            </w:pPr>
            <w:r>
              <w:t xml:space="preserve">An actual record (lab-generated is fine) passing the PASS logic, with per-identity results — aggregate-only stats score 0 here, per Vol IV Bk 05</w:t>
            </w:r>
          </w:p>
        </w:tc>
      </w:tr>
    </w:tbl>
    <w:bookmarkEnd w:id="20"/>
    <w:bookmarkEnd w:id="21"/>
    <w:bookmarkStart w:id="22" w:name="Xba357847d938d1a1f644cde9f9f7e6f048b4838"/>
    <w:p>
      <w:pPr>
        <w:pStyle w:val="Heading1"/>
      </w:pPr>
      <w:r>
        <w:t xml:space="preserve">5. Scoring the Track A Capstone — the Eight-Slot Walk</w:t>
      </w:r>
    </w:p>
    <w:p>
      <w:pPr>
        <w:pStyle w:val="FirstParagraph"/>
      </w:pPr>
      <w:r>
        <w:t xml:space="preserve">The compliance-track capstone (Vol V Book 01) is one document covering all eight</w:t>
      </w:r>
      <w:r>
        <w:t xml:space="preserve"> </w:t>
      </w:r>
      <w:r>
        <w:t xml:space="preserve">slots, backed by a real</w:t>
      </w:r>
      <w:r>
        <w:t xml:space="preserve"> </w:t>
      </w:r>
      <w:r>
        <w:rPr>
          <w:rStyle w:val="VerbatimChar"/>
        </w:rPr>
        <w:t xml:space="preserve">&lt;engine&gt; oscal ksi-ar</w:t>
      </w:r>
      <w:r>
        <w:t xml:space="preserve"> </w:t>
      </w:r>
      <w:r>
        <w:t xml:space="preserve">run. Score each slot on the ladder,</w:t>
      </w:r>
      <w:r>
        <w:t xml:space="preserve"> </w:t>
      </w:r>
      <w:r>
        <w:t xml:space="preserve">apply the four common checks once, and apply the pass bar: every slot ≥ 2, at</w:t>
      </w:r>
      <w:r>
        <w:t xml:space="preserve"> </w:t>
      </w:r>
      <w:r>
        <w:t xml:space="preserve">least three at level 3, 4/4 common checks.</w:t>
      </w:r>
    </w:p>
    <w:bookmarkEnd w:id="22"/>
    <w:bookmarkStart w:id="23" w:name="X1008bb2513ca5396af1bfae5343e6703dcc4f7f"/>
    <w:p>
      <w:pPr>
        <w:pStyle w:val="Heading1"/>
      </w:pPr>
      <w:r>
        <w:t xml:space="preserve">6. Scoring the Track B Capstone — One Module, Evidence-Complete</w:t>
      </w:r>
    </w:p>
    <w:p>
      <w:pPr>
        <w:pStyle w:val="FirstParagraph"/>
      </w:pPr>
      <w:r>
        <w:t xml:space="preserve">The implementation-track capstone (Vol V Book 02) is one module built or</w:t>
      </w:r>
      <w:r>
        <w:t xml:space="preserve"> </w:t>
      </w:r>
      <w:r>
        <w:t xml:space="preserve">lab-simulated end-to-end, with its artifact bound where the slot mapping reads</w:t>
      </w:r>
      <w:r>
        <w:t xml:space="preserve"> </w:t>
      </w:r>
      <w:r>
        <w:t xml:space="preserve">it. It is scored on a narrower bar because it is depth-first, not breadth-first:</w:t>
      </w:r>
    </w:p>
    <w:p>
      <w:pPr>
        <w:pStyle w:val="TableCaption"/>
      </w:pPr>
      <w:r>
        <w:t xml:space="preserve">Track B capstone — the depth-first pass criteria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rack B capstone — the depth-first pass criteria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Criterion</w:t>
            </w:r>
          </w:p>
        </w:tc>
        <w:tc>
          <w:tcPr/>
          <w:p>
            <w:pPr>
              <w:pStyle w:val="Compact"/>
            </w:pPr>
            <w:r>
              <w:t xml:space="preserve">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build works</w:t>
            </w:r>
          </w:p>
        </w:tc>
        <w:tc>
          <w:tcPr/>
          <w:p>
            <w:pPr>
              <w:pStyle w:val="Compact"/>
            </w:pPr>
            <w:r>
              <w:t xml:space="preserve">The module’s mechanism is demonstrably functioning (config, run output, or fixture)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evidence is bound</w:t>
            </w:r>
          </w:p>
        </w:tc>
        <w:tc>
          <w:tcPr/>
          <w:p>
            <w:pPr>
              <w:pStyle w:val="Compact"/>
            </w:pPr>
            <w:r>
              <w:t xml:space="preserve">The artifact sits where the slot mapping references it — not described, placed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verdict is fed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&lt;engine&gt; oscal ksi-ar</w:t>
            </w:r>
            <w:r>
              <w:t xml:space="preserve"> </w:t>
            </w:r>
            <w:r>
              <w:t xml:space="preserve">shows the module’s slot verdict changing because of</w:t>
            </w:r>
            <w:r>
              <w:t xml:space="preserve"> </w:t>
            </w:r>
            <w:r>
              <w:rPr>
                <w:i/>
                <w:iCs/>
              </w:rPr>
              <w:t xml:space="preserve">your</w:t>
            </w:r>
            <w:r>
              <w:t xml:space="preserve"> </w:t>
            </w:r>
            <w:r>
              <w:t xml:space="preserve">artifact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trace is stated</w:t>
            </w:r>
          </w:p>
        </w:tc>
        <w:tc>
          <w:tcPr/>
          <w:p>
            <w:pPr>
              <w:pStyle w:val="Compact"/>
            </w:pPr>
            <w:r>
              <w:t xml:space="preserve">You can name the control the build closes and the KSI rule that reads the evidence</w:t>
            </w:r>
          </w:p>
        </w:tc>
      </w:tr>
    </w:tbl>
    <w:bookmarkEnd w:id="23"/>
    <w:bookmarkStart w:id="24" w:name="Xf755847a88beb41095a552a64e2f981fd352def"/>
    <w:p>
      <w:pPr>
        <w:pStyle w:val="Heading1"/>
      </w:pPr>
      <w:r>
        <w:t xml:space="preserve">7. The KSI Closure Necessity Matrix — the Certification Exam</w:t>
      </w:r>
    </w:p>
    <w:p>
      <w:pPr>
        <w:pStyle w:val="FirstParagraph"/>
      </w:pPr>
      <w:r>
        <w:t xml:space="preserve">The authoritative artifact of the Academy, and the exam. One row per active KSI</w:t>
      </w:r>
      <w:r>
        <w:t xml:space="preserve"> </w:t>
      </w:r>
      <w:r>
        <w:t xml:space="preserve">rule family: the family, its closing technology (function, not product), whether</w:t>
      </w:r>
      <w:r>
        <w:t xml:space="preserve"> </w:t>
      </w:r>
      <w:r>
        <w:t xml:space="preserve">conformance tooling alone can attest it, the evidence slot it binds, and the</w:t>
      </w:r>
      <w:r>
        <w:t xml:space="preserve"> </w:t>
      </w:r>
      <w:r>
        <w:t xml:space="preserve">series volume/book that produces the evidence. The bottom line is pre-computed</w:t>
      </w:r>
      <w:r>
        <w:t xml:space="preserve"> </w:t>
      </w:r>
      <w:r>
        <w:t xml:space="preserve">and reconciles with Vol 0 Book 00 and Vol IV Book 06 at the totals and the</w:t>
      </w:r>
      <w:r>
        <w:t xml:space="preserve"> </w:t>
      </w:r>
      <w:r>
        <w:t xml:space="preserve">tool-attestable split:</w:t>
      </w:r>
      <w:r>
        <w:t xml:space="preserve"> </w:t>
      </w:r>
      <w:r>
        <w:rPr>
          <w:b/>
          <w:bCs/>
        </w:rPr>
        <w:t xml:space="preserve">10 attestable by tooling alone, 19 architecture-bound,</w:t>
      </w:r>
      <w:r>
        <w:rPr>
          <w:b/>
          <w:bCs/>
        </w:rPr>
        <w:t xml:space="preserve"> </w:t>
      </w:r>
      <w:r>
        <w:rPr>
          <w:b/>
          <w:bCs/>
        </w:rPr>
        <w:t xml:space="preserve">29 total.</w:t>
      </w:r>
      <w:r>
        <w:t xml:space="preserve"> </w:t>
      </w:r>
      <w:r>
        <w:t xml:space="preserve">This is the</w:t>
      </w:r>
      <w:r>
        <w:t xml:space="preserve"> </w:t>
      </w:r>
      <w:r>
        <w:rPr>
          <w:i/>
          <w:iCs/>
        </w:rPr>
        <w:t xml:space="preserve">theme-axis</w:t>
      </w:r>
      <w:r>
        <w:t xml:space="preserve"> </w:t>
      </w:r>
      <w:r>
        <w:t xml:space="preserve">view: the KSI-001..010 row is the ScuBA</w:t>
      </w:r>
      <w:r>
        <w:t xml:space="preserve"> </w:t>
      </w:r>
      <w:r>
        <w:t xml:space="preserve">baseline layer, and the theme rows beneath it are the architecture-bound</w:t>
      </w:r>
      <w:r>
        <w:t xml:space="preserve"> </w:t>
      </w:r>
      <w:r>
        <w:t xml:space="preserve">remainder of each theme (the 19). Vol 0 Book 00 holds the authoritative</w:t>
      </w:r>
      <w:r>
        <w:t xml:space="preserve"> </w:t>
      </w:r>
      <w:r>
        <w:rPr>
          <w:i/>
          <w:iCs/>
        </w:rPr>
        <w:t xml:space="preserve">per-rule-number</w:t>
      </w:r>
      <w:r>
        <w:t xml:space="preserve"> </w:t>
      </w:r>
      <w:r>
        <w:t xml:space="preserve">decomposition (KSI-011..029 grouped by rule range), which is</w:t>
      </w:r>
      <w:r>
        <w:t xml:space="preserve"> </w:t>
      </w:r>
      <w:r>
        <w:t xml:space="preserve">what an assessor reconciles against rule-by-rule.</w:t>
      </w:r>
    </w:p>
    <w:p>
      <w:pPr>
        <w:pStyle w:val="TableCaption"/>
      </w:pPr>
      <w:r>
        <w:t xml:space="preserve">KSI Closure Necessity Matrix — 10 tool-attestable, 19 architecture-bound, 29 total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KSI Closure Necessity Matrix — 10 tool-attestable, 19 architecture-bound, 29 total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KSI family</w:t>
            </w:r>
          </w:p>
        </w:tc>
        <w:tc>
          <w:tcPr/>
          <w:p>
            <w:pPr>
              <w:pStyle w:val="Compact"/>
            </w:pPr>
            <w:r>
              <w:t xml:space="preserve">Rules</w:t>
            </w:r>
          </w:p>
        </w:tc>
        <w:tc>
          <w:tcPr/>
          <w:p>
            <w:pPr>
              <w:pStyle w:val="Compact"/>
            </w:pPr>
            <w:r>
              <w:t xml:space="preserve">Closing mechanism (function)</w:t>
            </w:r>
          </w:p>
        </w:tc>
        <w:tc>
          <w:tcPr/>
          <w:p>
            <w:pPr>
              <w:pStyle w:val="Compact"/>
            </w:pPr>
            <w:r>
              <w:t xml:space="preserve">Tool-attestable alone?</w:t>
            </w:r>
          </w:p>
        </w:tc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Series home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KSI-001..010 (ScuBA)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M365/Entra baseline posture read by the ScuBA adapter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Vol 0 (adapter)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Cryptographic identity + lifecycle + least privilege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Vol I Bk 03/04/05 · Vol II Bk 01 · Vol III Bk 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KSI-PIY</w:t>
            </w:r>
          </w:p>
        </w:tc>
        <w:tc>
          <w:tcPr/>
          <w:p>
            <w:pPr>
              <w:pStyle w:val="Compact"/>
            </w:pPr>
            <w: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Authoritative IPAM/DDI + device identity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2, 5</w:t>
            </w:r>
          </w:p>
        </w:tc>
        <w:tc>
          <w:tcPr/>
          <w:p>
            <w:pPr>
              <w:pStyle w:val="Compact"/>
            </w:pPr>
            <w:r>
              <w:t xml:space="preserve">Vol I Bk 01/02 · Vol III Bk 01/03/04 · Vol IV Bk 04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KSI-CNA</w:t>
            </w:r>
          </w:p>
        </w:tc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Encrypted application-aware overlay + governed edge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Vol I Bk 05/06/07 · Vol II Bk 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KSI-MLA</w:t>
            </w:r>
          </w:p>
        </w:tc>
        <w:tc>
          <w:tcPr/>
          <w:p>
            <w:pPr>
              <w:pStyle w:val="Compact"/>
            </w:pPr>
            <w:r>
              <w:t xml:space="preserve">telemetry</w:t>
            </w:r>
          </w:p>
        </w:tc>
        <w:tc>
          <w:tcPr/>
          <w:p>
            <w:pPr>
              <w:pStyle w:val="Compact"/>
            </w:pPr>
            <w:r>
              <w:t xml:space="preserve">Correlated detection + audit retention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Vol III Bk 02/05/06/07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KSI-CMT</w:t>
            </w:r>
          </w:p>
        </w:tc>
        <w:tc>
          <w:tcPr/>
          <w:p>
            <w:pPr>
              <w:pStyle w:val="Compact"/>
            </w:pPr>
            <w:r>
              <w:t xml:space="preserve">config/change</w:t>
            </w:r>
          </w:p>
        </w:tc>
        <w:tc>
          <w:tcPr/>
          <w:p>
            <w:pPr>
              <w:pStyle w:val="Compact"/>
            </w:pPr>
            <w:r>
              <w:t xml:space="preserve">Secure config + SBOM/VDR/VER provenance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Vol III Bk 04/06 · Vol IV Bk 02/03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KSI-RPL</w:t>
            </w:r>
          </w:p>
        </w:tc>
        <w:tc>
          <w:tcPr/>
          <w:p>
            <w:pPr>
              <w:pStyle w:val="Compact"/>
            </w:pPr>
            <w:r>
              <w:t xml:space="preserve">resilience</w:t>
            </w:r>
          </w:p>
        </w:tc>
        <w:tc>
          <w:tcPr/>
          <w:p>
            <w:pPr>
              <w:pStyle w:val="Compact"/>
            </w:pPr>
            <w:r>
              <w:t xml:space="preserve">Tested contingency architecture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Vol IV Bk 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KSI-CED</w:t>
            </w:r>
          </w:p>
        </w:tc>
        <w:tc>
          <w:tcPr/>
          <w:p>
            <w:pPr>
              <w:pStyle w:val="Compact"/>
            </w:pPr>
            <w:r>
              <w:t xml:space="preserve">training</w:t>
            </w:r>
          </w:p>
        </w:tc>
        <w:tc>
          <w:tcPr/>
          <w:p>
            <w:pPr>
              <w:pStyle w:val="Compact"/>
            </w:pPr>
            <w:r>
              <w:t xml:space="preserve">Machine-readable training-effectiveness record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Vol IV Bk 05 (Vol IV Bk 06 cadence)</w:t>
            </w:r>
          </w:p>
        </w:tc>
      </w:tr>
    </w:tbl>
    <w:p>
      <w:pPr>
        <w:pStyle w:val="BodyText"/>
      </w:pPr>
      <w:r>
        <w:t xml:space="preserve">The exam is the matrix, reconstructed by the candidate from the corpus: given a</w:t>
      </w:r>
      <w:r>
        <w:t xml:space="preserve"> </w:t>
      </w:r>
      <w:r>
        <w:t xml:space="preserve">blank KSI list, place each rule in its slot, name the closing mechanism and why</w:t>
      </w:r>
      <w:r>
        <w:t xml:space="preserve"> </w:t>
      </w:r>
      <w:r>
        <w:t xml:space="preserve">no alternate closes it, and mark tool-attestable vs. architecture-bound</w:t>
      </w:r>
      <w:r>
        <w:t xml:space="preserve"> </w:t>
      </w:r>
      <w:r>
        <w:t xml:space="preserve">correctly. A candidate who reproduces the 10/19 split with correct reasoning has</w:t>
      </w:r>
      <w:r>
        <w:t xml:space="preserve"> </w:t>
      </w:r>
      <w:r>
        <w:t xml:space="preserve">demonstrated the coverage-gap fluency the whole program turns on.</w:t>
      </w:r>
    </w:p>
    <w:bookmarkEnd w:id="24"/>
    <w:bookmarkStart w:id="25" w:name="X67d21e81bd6045065ae769e44682b7c1b0b0455"/>
    <w:p>
      <w:pPr>
        <w:pStyle w:val="Heading1"/>
      </w:pPr>
      <w:r>
        <w:t xml:space="preserve">8. Certification — Compliance Practitioner and Compliance Assessor</w:t>
      </w:r>
    </w:p>
    <w:p>
      <w:pPr>
        <w:pStyle w:val="FirstParagraph"/>
      </w:pPr>
      <w:r>
        <w:t xml:space="preserve">The Academy confers two credentials. Both are competency credentials, not</w:t>
      </w:r>
      <w:r>
        <w:t xml:space="preserve"> </w:t>
      </w:r>
      <w:r>
        <w:t xml:space="preserve">attendance certificates; both are evidenced by artifacts, mirroring the series’</w:t>
      </w:r>
      <w:r>
        <w:t xml:space="preserve"> </w:t>
      </w:r>
      <w:r>
        <w:t xml:space="preserve">own doctrine that competency is a control (AT-3).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Compliance Practitioner</w:t>
      </w:r>
      <w:r>
        <w:t xml:space="preserve"> </w:t>
      </w:r>
      <w:r>
        <w:t xml:space="preserve">(implementation). Requires: the Track B capstone at pass</w:t>
      </w:r>
      <w:r>
        <w:t xml:space="preserve"> </w:t>
      </w:r>
      <w:r>
        <w:t xml:space="preserve">(one module, evidence-complete), plus the KSI Closure Necessity Matrix</w:t>
      </w:r>
      <w:r>
        <w:t xml:space="preserve"> </w:t>
      </w:r>
      <w:r>
        <w:t xml:space="preserve">reconstructed correctly for the slot(s) the chosen module feeds. The</w:t>
      </w:r>
      <w:r>
        <w:t xml:space="preserve"> </w:t>
      </w:r>
      <w:r>
        <w:t xml:space="preserve">Practitioner has proven they can build a control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land the evidence the</w:t>
      </w:r>
      <w:r>
        <w:t xml:space="preserve"> </w:t>
      </w:r>
      <w:r>
        <w:t xml:space="preserve">KSI reads.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Compliance Assessor</w:t>
      </w:r>
      <w:r>
        <w:t xml:space="preserve"> </w:t>
      </w:r>
      <w:r>
        <w:t xml:space="preserve">(compliance). Requires: the Track A capstone at pass (all</w:t>
      </w:r>
      <w:r>
        <w:t xml:space="preserve"> </w:t>
      </w:r>
      <w:r>
        <w:t xml:space="preserve">eight slots, ≥ three assessor-ready), plus the full KSI Closure Necessity</w:t>
      </w:r>
      <w:r>
        <w:t xml:space="preserve"> </w:t>
      </w:r>
      <w:r>
        <w:t xml:space="preserve">Matrix reconstructed correctly, with the 10/19 split and per-rule necessity</w:t>
      </w:r>
      <w:r>
        <w:t xml:space="preserve"> </w:t>
      </w:r>
      <w:r>
        <w:t xml:space="preserve">reasoning. The Assessor has proven they can trace and adjudicate the whole</w:t>
      </w:r>
      <w:r>
        <w:t xml:space="preserve"> </w:t>
      </w:r>
      <w:r>
        <w:t xml:space="preserve">evidence model.</w:t>
      </w:r>
    </w:p>
    <w:p>
      <w:pPr>
        <w:pStyle w:val="FirstParagraph"/>
      </w:pPr>
      <w:r>
        <w:t xml:space="preserve">Both credentials feed slot 8: the completion record — per-identity, dated,</w:t>
      </w:r>
      <w:r>
        <w:t xml:space="preserve"> </w:t>
      </w:r>
      <w:r>
        <w:t xml:space="preserve">machine-readable — is the</w:t>
      </w:r>
      <w:r>
        <w:t xml:space="preserve"> </w:t>
      </w:r>
      <w:r>
        <w:rPr>
          <w:rStyle w:val="VerbatimChar"/>
        </w:rPr>
        <w:t xml:space="preserve">training-effectiveness-record</w:t>
      </w:r>
      <w:r>
        <w:t xml:space="preserve"> </w:t>
      </w:r>
      <w:r>
        <w:t xml:space="preserve">that closes AT-2/AT-3</w:t>
      </w:r>
      <w:r>
        <w:t xml:space="preserve"> </w:t>
      </w:r>
      <w:r>
        <w:t xml:space="preserve">and satisfies KSI-022. The Academy’s own graduates are the series’ training</w:t>
      </w:r>
      <w:r>
        <w:t xml:space="preserve"> </w:t>
      </w:r>
      <w:r>
        <w:t xml:space="preserve">evidence.</w:t>
      </w:r>
    </w:p>
    <w:bookmarkEnd w:id="25"/>
    <w:bookmarkStart w:id="26" w:name="scoring-sheet"/>
    <w:p>
      <w:pPr>
        <w:pStyle w:val="Heading1"/>
      </w:pPr>
      <w:r>
        <w:t xml:space="preserve">9. Scoring Sheet</w:t>
      </w:r>
    </w:p>
    <w:p>
      <w:pPr>
        <w:pStyle w:val="TableCaption"/>
      </w:pPr>
      <w:r>
        <w:t xml:space="preserve">Track A capstone scoring sheet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Track A capstone scoring sheet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Slot</w:t>
            </w:r>
          </w:p>
        </w:tc>
        <w:tc>
          <w:tcPr/>
          <w:p>
            <w:pPr>
              <w:pStyle w:val="Compact"/>
            </w:pPr>
            <w:r>
              <w:t xml:space="preserve">Level (0–3)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— identity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 — addressing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 — network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 — telemetry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 — endpoint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 — security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 — continuity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 — training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Common checks passed</w:t>
            </w:r>
          </w:p>
        </w:tc>
        <w:tc>
          <w:tcPr/>
          <w:p>
            <w:pPr>
              <w:pStyle w:val="Compact"/>
            </w:pPr>
            <w:r>
              <w:t xml:space="preserve">/4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Pass / Not yet</w:t>
            </w:r>
          </w:p>
        </w:tc>
        <w:tc>
          <w:tcPr/>
          <w:p>
            <w:pPr>
              <w:pStyle w:val="Compact"/>
            </w:pPr>
            <w:r>
              <w:t xml:space="preserve">Pass = all ≥ 2, ≥ 3 at level 3, 4/4 common checks</w:t>
            </w:r>
          </w:p>
        </w:tc>
      </w:tr>
    </w:tbl>
    <w:bookmarkEnd w:id="26"/>
    <w:bookmarkStart w:id="27" w:name="series-context-vol-v-book-03"/>
    <w:p>
      <w:pPr>
        <w:pStyle w:val="Heading1"/>
      </w:pPr>
      <w:r>
        <w:t xml:space="preserve">10. Series Context — Vol V Book 03</w:t>
      </w:r>
    </w:p>
    <w:p>
      <w:pPr>
        <w:pStyle w:val="FirstParagraph"/>
      </w:pPr>
      <w:r>
        <w:t xml:space="preserve">This book is the Academy’s grading instrument. It scores the capstones that</w:t>
      </w:r>
      <w:r>
        <w:t xml:space="preserve"> </w:t>
      </w:r>
      <w:r>
        <w:t xml:space="preserve">Vol V Book 01 (compliance) and Vol V Book 02 (implementation) set, using rubrics</w:t>
      </w:r>
      <w:r>
        <w:t xml:space="preserve"> </w:t>
      </w:r>
      <w:r>
        <w:t xml:space="preserve">built from the same eight evidence slots and the same volume-coordinate book</w:t>
      </w:r>
      <w:r>
        <w:t xml:space="preserve"> </w:t>
      </w:r>
      <w:r>
        <w:t xml:space="preserve">references. Its KSI Closure Necessity Matrix is the citable form of Theme E’s</w:t>
      </w:r>
      <w:r>
        <w:t xml:space="preserve"> </w:t>
      </w:r>
      <w:r>
        <w:t xml:space="preserve">10-of-29 coverage gap and is cross-referenced by Vol IV Book 06 (Authorization</w:t>
      </w:r>
      <w:r>
        <w:t xml:space="preserve"> </w:t>
      </w:r>
      <w:r>
        <w:t xml:space="preserve">Package &amp; ConMon) as the exam-grade rendering of the KSI scorecard. The</w:t>
      </w:r>
      <w:r>
        <w:t xml:space="preserve"> </w:t>
      </w:r>
      <w:r>
        <w:t xml:space="preserve">credentials it confers produce the per-identity training record that Vol IV</w:t>
      </w:r>
      <w:r>
        <w:t xml:space="preserve"> </w:t>
      </w:r>
      <w:r>
        <w:t xml:space="preserve">Book 06 freezes into the OSCAL bundle — closing, on the evidence of the</w:t>
      </w:r>
      <w:r>
        <w:t xml:space="preserve"> </w:t>
      </w:r>
      <w:r>
        <w:t xml:space="preserve">Academy’s own graduates, the training control the authorization package depends</w:t>
      </w:r>
      <w:r>
        <w:t xml:space="preserve"> </w:t>
      </w:r>
      <w:r>
        <w:t xml:space="preserve">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Federal Compliance — Vol V Book 03 of the series. Volume V is</w:t>
      </w:r>
      <w:r>
        <w:rPr>
          <w:i/>
          <w:iCs/>
        </w:rPr>
        <w:t xml:space="preserve"> </w:t>
      </w:r>
      <w:r>
        <w:rPr>
          <w:i/>
          <w:iCs/>
        </w:rPr>
        <w:t xml:space="preserve">the enablement layer; this book is its assessment and certification instrument,</w:t>
      </w:r>
      <w:r>
        <w:rPr>
          <w:i/>
          <w:iCs/>
        </w:rPr>
        <w:t xml:space="preserve"> </w:t>
      </w:r>
      <w:r>
        <w:rPr>
          <w:i/>
          <w:iCs/>
        </w:rPr>
        <w:t xml:space="preserve">grading the capstones of Vol V Books 01–02 and conferring the Compliance Practitioner</w:t>
      </w:r>
      <w:r>
        <w:rPr>
          <w:i/>
          <w:iCs/>
        </w:rPr>
        <w:t xml:space="preserve"> </w:t>
      </w:r>
      <w:r>
        <w:rPr>
          <w:i/>
          <w:iCs/>
        </w:rPr>
        <w:t xml:space="preserve">and Compliance Assessor credentials. The KSI Closure Necessity Matrix reconciles with</w:t>
      </w:r>
      <w:r>
        <w:rPr>
          <w:i/>
          <w:iCs/>
        </w:rPr>
        <w:t xml:space="preserve"> </w:t>
      </w:r>
      <w:r>
        <w:rPr>
          <w:i/>
          <w:iCs/>
        </w:rPr>
        <w:t xml:space="preserve">Vol 0 Book 00 and Vol IV Book 06 at 10 tool-attestable / 19 architecture-bound /</w:t>
      </w:r>
      <w:r>
        <w:rPr>
          <w:i/>
          <w:iCs/>
        </w:rPr>
        <w:t xml:space="preserve"> </w:t>
      </w:r>
      <w:r>
        <w:rPr>
          <w:i/>
          <w:iCs/>
        </w:rPr>
        <w:t xml:space="preserve">29 total. Control-closure and KSI claims are self-assessed against the series’</w:t>
      </w:r>
      <w:r>
        <w:rPr>
          <w:i/>
          <w:iCs/>
        </w:rPr>
        <w:t xml:space="preserve"> </w:t>
      </w:r>
      <w:r>
        <w:rPr>
          <w:i/>
          <w:iCs/>
        </w:rPr>
        <w:t xml:space="preserve">internal KSI decomposition (modeled on the FedRAMP 20x CR26 KSI schema), pending</w:t>
      </w:r>
      <w:r>
        <w:rPr>
          <w:i/>
          <w:iCs/>
        </w:rPr>
        <w:t xml:space="preserve"> </w:t>
      </w:r>
      <w:r>
        <w:rPr>
          <w:i/>
          <w:iCs/>
        </w:rPr>
        <w:t xml:space="preserve">independent security control assessment (SCA) and formal FedRAMP PMO / AO</w:t>
      </w:r>
      <w:r>
        <w:rPr>
          <w:i/>
          <w:iCs/>
        </w:rPr>
        <w:t xml:space="preserve"> </w:t>
      </w:r>
      <w:r>
        <w:rPr>
          <w:i/>
          <w:iCs/>
        </w:rPr>
        <w:t xml:space="preserve">review.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V Book 03 — Federal Compliance — Assessment, Rubrics &amp; Certification</dc:title>
  <dc:creator>Federal Cloud Services</dc:creator>
  <cp:keywords/>
  <dcterms:created xsi:type="dcterms:W3CDTF">2026-10-19T10:10:27Z</dcterms:created>
  <dcterms:modified xsi:type="dcterms:W3CDTF">2026-10-19T10:10:27Z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2026-07-18 10:20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four-level rubric ladder, the two capstones’ scoring, the KSI Closure Necessity Matrix as the exam, and the Compliance Practitioner / Assessor credentials</vt:lpwstr>
  </property>
  <property fmtid="{D5CDD505-2E9C-101B-9397-08002B2CF9AE}" pid="16" name="toc-title">
    <vt:lpwstr>Table of contents</vt:lpwstr>
  </property>
</Properties>
</file>