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 Book 04 — Federal Compliance — Vendor Training &amp; Lab Environments</w:t>
      </w:r>
    </w:p>
    <w:p>
      <w:pPr>
        <w:pStyle w:val="Subtitle"/>
      </w:pPr>
      <w:r>
        <w:t xml:space="preserve">The realization layer — external courses mapped per volume, and scripted fixture / trial-tenant / product-eval lab environments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2026-07-18 10:20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2026-07-18 06:20 ET</w:t>
      </w:r>
    </w:p>
    <w:bookmarkEnd w:id="9"/>
    <w:p>
      <w:pPr>
        <w:pStyle w:val="BodyText"/>
      </w:pPr>
      <w:r>
        <w:rPr>
          <w:b/>
          <w:bCs/>
        </w:rPr>
        <w:t xml:space="preserve">Operational appendix — vendor-named by necessity.</w:t>
      </w:r>
      <w:r>
        <w:t xml:space="preserve"> </w:t>
      </w:r>
      <w:r>
        <w:t xml:space="preserve">The rest of Volume V is</w:t>
      </w:r>
      <w:r>
        <w:t xml:space="preserve"> </w:t>
      </w:r>
      <w:r>
        <w:t xml:space="preserve">function-first. This book is the series’</w:t>
      </w:r>
      <w:r>
        <w:t xml:space="preserve"> </w:t>
      </w:r>
      <w:r>
        <w:rPr>
          <w:b/>
          <w:bCs/>
        </w:rPr>
        <w:t xml:space="preserve">realization layer</w:t>
      </w:r>
      <w:r>
        <w:t xml:space="preserve"> </w:t>
      </w:r>
      <w:r>
        <w:t xml:space="preserve">(Vol 0 Book 00,</w:t>
      </w:r>
      <w:r>
        <w:t xml:space="preserve"> </w:t>
      </w:r>
      <w:r>
        <w:t xml:space="preserve">Theme F:</w:t>
      </w:r>
      <w:r>
        <w:t xml:space="preserve"> </w:t>
      </w:r>
      <w:r>
        <w:rPr>
          <w:i/>
          <w:iCs/>
        </w:rPr>
        <w:t xml:space="preserve">Mechanism, Not Product</w:t>
      </w:r>
      <w:r>
        <w:t xml:space="preserve">): one mechanism is realized by N products, each</w:t>
      </w:r>
      <w:r>
        <w:t xml:space="preserve"> </w:t>
      </w:r>
      <w:r>
        <w:t xml:space="preserve">carrying a federal accreditation. A training catalog cannot function without</w:t>
      </w:r>
      <w:r>
        <w:t xml:space="preserve"> </w:t>
      </w:r>
      <w:r>
        <w:t xml:space="preserve">naming the vendors whose products the books deploy, so this book names them —</w:t>
      </w:r>
      <w:r>
        <w:t xml:space="preserve"> </w:t>
      </w:r>
      <w:r>
        <w:t xml:space="preserve">courses, portals, and eval licenses. It assigns no organizational owner and</w:t>
      </w:r>
      <w:r>
        <w:t xml:space="preserve"> </w:t>
      </w:r>
      <w:r>
        <w:t xml:space="preserve">recommends no procurement; it maps existing external training to the volume it</w:t>
      </w:r>
      <w:r>
        <w:t xml:space="preserve"> </w:t>
      </w:r>
      <w:r>
        <w:t xml:space="preserve">supports. Verify every vendor’s FedRAMP / accreditation status on the</w:t>
      </w:r>
      <w:r>
        <w:t xml:space="preserve"> </w:t>
      </w:r>
      <w:hyperlink r:id="rId10">
        <w:r>
          <w:rPr>
            <w:rStyle w:val="Hyperlink"/>
          </w:rPr>
          <w:t xml:space="preserve">FedRAMP Marketplace</w:t>
        </w:r>
      </w:hyperlink>
      <w:r>
        <w:t xml:space="preserve"> </w:t>
      </w:r>
      <w:r>
        <w:t xml:space="preserve">at procurement time.</w:t>
      </w:r>
    </w:p>
    <w:bookmarkStart w:id="11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The four preceding Volume V books teach the corpus and grade the learner; none of</w:t>
      </w:r>
      <w:r>
        <w:t xml:space="preserve"> </w:t>
      </w:r>
      <w:r>
        <w:t xml:space="preserve">them teaches a product. This book supplies the two things a learner needs to</w:t>
      </w:r>
      <w:r>
        <w:t xml:space="preserve"> </w:t>
      </w:r>
      <w:r>
        <w:t xml:space="preserve">actually acquire the skills:</w:t>
      </w:r>
      <w:r>
        <w:t xml:space="preserve"> </w:t>
      </w:r>
      <w:r>
        <w:rPr>
          <w:b/>
          <w:bCs/>
        </w:rPr>
        <w:t xml:space="preserve">external vendor training</w:t>
      </w:r>
      <w:r>
        <w:t xml:space="preserve"> </w:t>
      </w:r>
      <w:r>
        <w:t xml:space="preserve">mapped to the volume it</w:t>
      </w:r>
      <w:r>
        <w:t xml:space="preserve"> </w:t>
      </w:r>
      <w:r>
        <w:t xml:space="preserve">supports, and</w:t>
      </w:r>
      <w:r>
        <w:t xml:space="preserve"> </w:t>
      </w:r>
      <w:r>
        <w:rPr>
          <w:b/>
          <w:bCs/>
        </w:rPr>
        <w:t xml:space="preserve">lab environments</w:t>
      </w:r>
      <w:r>
        <w:t xml:space="preserve"> </w:t>
      </w:r>
      <w:r>
        <w:t xml:space="preserve">— scripted, disposable setups where the</w:t>
      </w:r>
      <w:r>
        <w:t xml:space="preserve"> </w:t>
      </w:r>
      <w:r>
        <w:t xml:space="preserve">implementation-track builds can be exercised without a production footprint.</w:t>
      </w:r>
    </w:p>
    <w:p>
      <w:pPr>
        <w:pStyle w:val="BodyText"/>
      </w:pPr>
      <w:r>
        <w:t xml:space="preserve">It is a living catalog. As research continues it expands; rows carry the volume</w:t>
      </w:r>
      <w:r>
        <w:t xml:space="preserve"> </w:t>
      </w:r>
      <w:r>
        <w:t xml:space="preserve">they support so the other books can link here stably, and external URLs are</w:t>
      </w:r>
      <w:r>
        <w:t xml:space="preserve"> </w:t>
      </w:r>
      <w:r>
        <w:t xml:space="preserve">re-verified by the repo’s link-check CI so link rot surfaces automatically.</w:t>
      </w:r>
    </w:p>
    <w:bookmarkEnd w:id="11"/>
    <w:bookmarkStart w:id="12" w:name="how-to-use-this-catalog"/>
    <w:p>
      <w:pPr>
        <w:pStyle w:val="Heading1"/>
      </w:pPr>
      <w:r>
        <w:t xml:space="preserve">2. How to Use This Catalog</w:t>
      </w:r>
    </w:p>
    <w:p>
      <w:pPr>
        <w:pStyle w:val="FirstParagraph"/>
      </w:pPr>
      <w:r>
        <w:t xml:space="preserve">Each implementation module (Vol V Book 02) and each compliance module (Vol V</w:t>
      </w:r>
      <w:r>
        <w:t xml:space="preserve"> </w:t>
      </w:r>
      <w:r>
        <w:t xml:space="preserve">Book 01) points at a section here. Certifications are listed where a role-based</w:t>
      </w:r>
      <w:r>
        <w:t xml:space="preserve"> </w:t>
      </w:r>
      <w:r>
        <w:t xml:space="preserve">cert is the natural packaging; free learning-path options are noted where they</w:t>
      </w:r>
      <w:r>
        <w:t xml:space="preserve"> </w:t>
      </w:r>
      <w:r>
        <w:t xml:space="preserve">exist.</w:t>
      </w:r>
      <w:r>
        <w:t xml:space="preserve"> </w:t>
      </w:r>
      <w:r>
        <w:t xml:space="preserve">“Volumes”</w:t>
      </w:r>
      <w:r>
        <w:t xml:space="preserve"> </w:t>
      </w:r>
      <w:r>
        <w:t xml:space="preserve">columns refer to the volume/book a course supports.</w:t>
      </w:r>
    </w:p>
    <w:bookmarkEnd w:id="12"/>
    <w:bookmarkStart w:id="21" w:name="microsoft"/>
    <w:p>
      <w:pPr>
        <w:pStyle w:val="Heading1"/>
      </w:pPr>
      <w:r>
        <w:t xml:space="preserve">3. Microsoft Role-Based Training</w:t>
      </w:r>
    </w:p>
    <w:p>
      <w:pPr>
        <w:pStyle w:val="FirstParagraph"/>
      </w:pPr>
      <w:r>
        <w:t xml:space="preserve">The Compliance reference stack is Microsoft-heavy (Entra, Defender, Sentinel, Purview,</w:t>
      </w:r>
      <w:r>
        <w:t xml:space="preserve"> </w:t>
      </w:r>
      <w:r>
        <w:t xml:space="preserve">SQL Server, Azure networking), so Microsoft Learn role paths cover the largest</w:t>
      </w:r>
      <w:r>
        <w:t xml:space="preserve"> </w:t>
      </w:r>
      <w:r>
        <w:t xml:space="preserve">share of Track B. Microsoft Learn content is free; certification exams are paid.</w:t>
      </w:r>
    </w:p>
    <w:p>
      <w:pPr>
        <w:pStyle w:val="TableCaption"/>
      </w:pPr>
      <w:r>
        <w:t xml:space="preserve">Microsoft role-based training mapped to the series volumes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Microsoft role-based training mapped to the series volumes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Certification / path</w:t>
            </w:r>
          </w:p>
        </w:tc>
        <w:tc>
          <w:tcPr/>
          <w:p>
            <w:pPr>
              <w:pStyle w:val="Compact"/>
            </w:pPr>
            <w:r>
              <w:t xml:space="preserve">Exam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Why it maps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Azure Network Engineer Associate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AZ-700</w:t>
            </w:r>
          </w:p>
        </w:tc>
        <w:tc>
          <w:tcPr/>
          <w:p>
            <w:pPr>
              <w:pStyle w:val="Compact"/>
            </w:pPr>
            <w:r>
              <w:t xml:space="preserve">Vol I Bk 01, 05</w:t>
            </w:r>
          </w:p>
        </w:tc>
        <w:tc>
          <w:tcPr/>
          <w:p>
            <w:pPr>
              <w:pStyle w:val="Compact"/>
            </w:pPr>
            <w:r>
              <w:t xml:space="preserve">Landing-zone networking, hybrid connectivity, private access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Identity and Access Administrator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SC-300</w:t>
            </w:r>
          </w:p>
        </w:tc>
        <w:tc>
          <w:tcPr/>
          <w:p>
            <w:pPr>
              <w:pStyle w:val="Compact"/>
            </w:pPr>
            <w:r>
              <w:t xml:space="preserve">Vol I Bk 03/04/05 · Vol III Bk 01</w:t>
            </w:r>
          </w:p>
        </w:tc>
        <w:tc>
          <w:tcPr/>
          <w:p>
            <w:pPr>
              <w:pStyle w:val="Compact"/>
            </w:pPr>
            <w:r>
              <w:t xml:space="preserve">Entra ID, conditional access, PIM, lifecycle — the identity spine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Security Operations Analyst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SC-200</w:t>
            </w:r>
          </w:p>
        </w:tc>
        <w:tc>
          <w:tcPr/>
          <w:p>
            <w:pPr>
              <w:pStyle w:val="Compact"/>
            </w:pPr>
            <w:r>
              <w:t xml:space="preserve">Vol III Bk 02, 06</w:t>
            </w:r>
          </w:p>
        </w:tc>
        <w:tc>
          <w:tcPr/>
          <w:p>
            <w:pPr>
              <w:pStyle w:val="Compact"/>
            </w:pPr>
            <w:r>
              <w:t xml:space="preserve">Sentinel + Defender XDR detection and Defender VM</w:t>
            </w:r>
          </w:p>
        </w:tc>
      </w:tr>
      <w:tr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Information Security Administrator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SC-401</w:t>
            </w:r>
          </w:p>
        </w:tc>
        <w:tc>
          <w:tcPr/>
          <w:p>
            <w:pPr>
              <w:pStyle w:val="Compact"/>
            </w:pPr>
            <w:r>
              <w:t xml:space="preserve">Vol III Bk 05 · Vol IV Bk 04</w:t>
            </w:r>
          </w:p>
        </w:tc>
        <w:tc>
          <w:tcPr/>
          <w:p>
            <w:pPr>
              <w:pStyle w:val="Compact"/>
            </w:pPr>
            <w:r>
              <w:t xml:space="preserve">Purview information protection, DLP, insider risk (successor to SC-400)</w:t>
            </w:r>
          </w:p>
        </w:tc>
      </w:tr>
      <w:tr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Azure Database Administrator Associate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DP-300</w:t>
            </w:r>
          </w:p>
        </w:tc>
        <w:tc>
          <w:tcPr/>
          <w:p>
            <w:pPr>
              <w:pStyle w:val="Compact"/>
            </w:pPr>
            <w:r>
              <w:t xml:space="preserve">Vol II Bk 01–03</w:t>
            </w:r>
          </w:p>
        </w:tc>
        <w:tc>
          <w:tcPr/>
          <w:p>
            <w:pPr>
              <w:pStyle w:val="Compact"/>
            </w:pPr>
            <w:r>
              <w:t xml:space="preserve">SQL Server / Azure SQL administration and authentication modernization</w:t>
            </w:r>
          </w:p>
        </w:tc>
      </w:tr>
      <w:tr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Azure Security Engineer Associate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AZ-500</w:t>
            </w:r>
          </w:p>
        </w:tc>
        <w:tc>
          <w:tcPr/>
          <w:p>
            <w:pPr>
              <w:pStyle w:val="Compact"/>
            </w:pPr>
            <w:r>
              <w:t xml:space="preserve">Vol I Bk 03 · Vol III Bk 05</w:t>
            </w:r>
          </w:p>
        </w:tc>
        <w:tc>
          <w:tcPr/>
          <w:p>
            <w:pPr>
              <w:pStyle w:val="Compact"/>
            </w:pPr>
            <w:r>
              <w:t xml:space="preserve">Key Vault, CMK, workload identity, platform security controls</w:t>
            </w:r>
          </w:p>
        </w:tc>
      </w:tr>
      <w:tr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Cybersecurity Architect Expert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SC-100</w:t>
            </w:r>
          </w:p>
        </w:tc>
        <w:tc>
          <w:tcPr/>
          <w:p>
            <w:pPr>
              <w:pStyle w:val="Compact"/>
            </w:pPr>
            <w:r>
              <w:t xml:space="preserve">Vol 0 Bk 00 · Vol IV Bk 03</w:t>
            </w:r>
          </w:p>
        </w:tc>
        <w:tc>
          <w:tcPr/>
          <w:p>
            <w:pPr>
              <w:pStyle w:val="Compact"/>
            </w:pPr>
            <w:r>
              <w:t xml:space="preserve">Whole-of-estate security architecture — the leadership view</w:t>
            </w:r>
          </w:p>
        </w:tc>
      </w:tr>
      <w:tr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Microsoft Learn training browser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Free modular learning paths under every product above</w:t>
            </w:r>
          </w:p>
        </w:tc>
      </w:tr>
    </w:tbl>
    <w:bookmarkEnd w:id="21"/>
    <w:bookmarkStart w:id="28" w:name="networking-ddi"/>
    <w:p>
      <w:pPr>
        <w:pStyle w:val="Heading1"/>
      </w:pPr>
      <w:r>
        <w:t xml:space="preserve">4. Networking &amp; DDI</w:t>
      </w:r>
    </w:p>
    <w:p>
      <w:pPr>
        <w:pStyle w:val="TableCaption"/>
      </w:pPr>
      <w:r>
        <w:t xml:space="preserve">Networking &amp; DDI training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Networking &amp; DDI training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Cisco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Cisco U.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02, 05, 07</w:t>
            </w:r>
          </w:p>
        </w:tc>
        <w:tc>
          <w:tcPr/>
          <w:p>
            <w:pPr>
              <w:pStyle w:val="Compact"/>
            </w:pPr>
            <w:r>
              <w:t xml:space="preserve">SD-WAN (ENSDWI-track), ISE/802.1X NAC, enterprise routing; subscription with free tiers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Cisco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Networking Academy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02, 05, 06</w:t>
            </w:r>
          </w:p>
        </w:tc>
        <w:tc>
          <w:tcPr/>
          <w:p>
            <w:pPr>
              <w:pStyle w:val="Compact"/>
            </w:pPr>
            <w:r>
              <w:t xml:space="preserve">Free foundational networking incl. switching/802.1X basics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Juniper</w:t>
            </w:r>
          </w:p>
        </w:tc>
        <w:tc>
          <w:tcPr/>
          <w:p>
            <w:pPr>
              <w:pStyle w:val="Compact"/>
            </w:pPr>
            <w:hyperlink r:id="rId24">
              <w:r>
                <w:rPr>
                  <w:rStyle w:val="Hyperlink"/>
                </w:rPr>
                <w:t xml:space="preserve">Juniper Networks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07</w:t>
            </w:r>
          </w:p>
        </w:tc>
        <w:tc>
          <w:tcPr/>
          <w:p>
            <w:pPr>
              <w:pStyle w:val="Compact"/>
            </w:pPr>
            <w:r>
              <w:t xml:space="preserve">SD-WAN/routing and Mist Access Assurance NAC where Juniper gear is in scope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Infoblox</w:t>
            </w:r>
          </w:p>
        </w:tc>
        <w:tc>
          <w:tcPr/>
          <w:p>
            <w:pPr>
              <w:pStyle w:val="Compact"/>
            </w:pPr>
            <w:hyperlink r:id="rId25">
              <w:r>
                <w:rPr>
                  <w:rStyle w:val="Hyperlink"/>
                </w:rPr>
                <w:t xml:space="preserve">Infoblox Education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01</w:t>
            </w:r>
          </w:p>
        </w:tc>
        <w:tc>
          <w:tcPr/>
          <w:p>
            <w:pPr>
              <w:pStyle w:val="Compact"/>
            </w:pPr>
            <w:r>
              <w:t xml:space="preserve">DDI (IPAM/DNS/DHCP) training for the reference stack — role-based courses + free Launchpad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BlueCat</w:t>
            </w:r>
          </w:p>
        </w:tc>
        <w:tc>
          <w:tcPr/>
          <w:p>
            <w:pPr>
              <w:pStyle w:val="Compact"/>
            </w:pPr>
            <w:hyperlink r:id="rId26">
              <w:r>
                <w:rPr>
                  <w:rStyle w:val="Hyperlink"/>
                </w:rPr>
                <w:t xml:space="preserve">BlueCat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01</w:t>
            </w:r>
          </w:p>
        </w:tc>
        <w:tc>
          <w:tcPr/>
          <w:p>
            <w:pPr>
              <w:pStyle w:val="Compact"/>
            </w:pPr>
            <w:r>
              <w:t xml:space="preserve">DDI learning paths for the BlueCat migration path covered by the reference implementation’s adapter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CompTIA</w:t>
            </w:r>
          </w:p>
        </w:tc>
        <w:tc>
          <w:tcPr/>
          <w:p>
            <w:pPr>
              <w:pStyle w:val="Compact"/>
            </w:pPr>
            <w:hyperlink r:id="rId27">
              <w:r>
                <w:rPr>
                  <w:rStyle w:val="Hyperlink"/>
                </w:rPr>
                <w:t xml:space="preserve">CompTIA (Network+, Security+)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0–I</w:t>
            </w:r>
          </w:p>
        </w:tc>
        <w:tc>
          <w:tcPr/>
          <w:p>
            <w:pPr>
              <w:pStyle w:val="Compact"/>
            </w:pPr>
            <w:r>
              <w:t xml:space="preserve">Vendor-neutral baseline for staff entering without a networking background</w:t>
            </w:r>
          </w:p>
        </w:tc>
      </w:tr>
    </w:tbl>
    <w:bookmarkEnd w:id="28"/>
    <w:bookmarkStart w:id="34" w:name="identity-zero-trust"/>
    <w:p>
      <w:pPr>
        <w:pStyle w:val="Heading1"/>
      </w:pPr>
      <w:r>
        <w:t xml:space="preserve">5. Identity &amp; Zero Trust</w:t>
      </w:r>
    </w:p>
    <w:p>
      <w:pPr>
        <w:pStyle w:val="TableCaption"/>
      </w:pPr>
      <w:r>
        <w:t xml:space="preserve">Identity &amp; zero-trust training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Identity &amp; zero-trust training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</w:t>
            </w:r>
          </w:p>
        </w:tc>
        <w:tc>
          <w:tcPr/>
          <w:p>
            <w:pPr>
              <w:pStyle w:val="Compact"/>
            </w:pPr>
            <w:r>
              <w:t xml:space="preserve">SC-300 / AZ-500 (see</w:t>
            </w:r>
            <w:r>
              <w:t xml:space="preserve"> </w:t>
            </w:r>
            <w:hyperlink w:anchor="microsoft">
              <w:r>
                <w:rPr>
                  <w:rStyle w:val="Hyperlink"/>
                </w:rPr>
                <w:t xml:space="preserve">§Microsoft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Vol I Bk 03/04/05 · Vol III Bk 01</w:t>
            </w:r>
          </w:p>
        </w:tc>
        <w:tc>
          <w:tcPr/>
          <w:p>
            <w:pPr>
              <w:pStyle w:val="Compact"/>
            </w:pPr>
            <w:r>
              <w:t xml:space="preserve">Primary identity stack incl. the credential plane and lifecycle provisioning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SailPoint</w:t>
            </w:r>
          </w:p>
        </w:tc>
        <w:tc>
          <w:tcPr/>
          <w:p>
            <w:pPr>
              <w:pStyle w:val="Compact"/>
            </w:pPr>
            <w:hyperlink r:id="rId29">
              <w:r>
                <w:rPr>
                  <w:rStyle w:val="Hyperlink"/>
                </w:rPr>
                <w:t xml:space="preserve">Identity University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04 · Vol III Bk 01</w:t>
            </w:r>
          </w:p>
        </w:tc>
        <w:tc>
          <w:tcPr/>
          <w:p>
            <w:pPr>
              <w:pStyle w:val="Compact"/>
            </w:pPr>
            <w:r>
              <w:t xml:space="preserve">Joiner-mover-leaver governance for the HRIT lifecycle; NERM boundary exception documented in Vol III Bk 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Fortinet</w:t>
            </w:r>
          </w:p>
        </w:tc>
        <w:tc>
          <w:tcPr/>
          <w:p>
            <w:pPr>
              <w:pStyle w:val="Compact"/>
            </w:pPr>
            <w:hyperlink r:id="rId30">
              <w:r>
                <w:rPr>
                  <w:rStyle w:val="Hyperlink"/>
                </w:rPr>
                <w:t xml:space="preserve">Fortinet Training Institute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05, 06</w:t>
            </w:r>
          </w:p>
        </w:tc>
        <w:tc>
          <w:tcPr/>
          <w:p>
            <w:pPr>
              <w:pStyle w:val="Compact"/>
            </w:pPr>
            <w:r>
              <w:t xml:space="preserve">Free NSE-track courses; SASE/ZTNA modules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Palo Alto Networks</w:t>
            </w:r>
          </w:p>
        </w:tc>
        <w:tc>
          <w:tcPr/>
          <w:p>
            <w:pPr>
              <w:pStyle w:val="Compact"/>
            </w:pPr>
            <w:hyperlink r:id="rId31">
              <w:r>
                <w:rPr>
                  <w:rStyle w:val="Hyperlink"/>
                </w:rPr>
                <w:t xml:space="preserve">Education services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05, 06, 07</w:t>
            </w:r>
          </w:p>
        </w:tc>
        <w:tc>
          <w:tcPr/>
          <w:p>
            <w:pPr>
              <w:pStyle w:val="Compact"/>
            </w:pPr>
            <w:r>
              <w:t xml:space="preserve">SASE (Prisma-track) coursework where Palo Alto is the SASE vendor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Zscaler</w:t>
            </w:r>
          </w:p>
        </w:tc>
        <w:tc>
          <w:tcPr/>
          <w:p>
            <w:pPr>
              <w:pStyle w:val="Compact"/>
            </w:pPr>
            <w:hyperlink r:id="rId32">
              <w:r>
                <w:rPr>
                  <w:rStyle w:val="Hyperlink"/>
                </w:rPr>
                <w:t xml:space="preserve">Zscaler Cyber Academy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05, 06</w:t>
            </w:r>
          </w:p>
        </w:tc>
        <w:tc>
          <w:tcPr/>
          <w:p>
            <w:pPr>
              <w:pStyle w:val="Compact"/>
            </w:pPr>
            <w:r>
              <w:t xml:space="preserve">ZDTA/ZTCA-track SASE and zero-trust; separate Government Academy for federal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Netskope</w:t>
            </w:r>
          </w:p>
        </w:tc>
        <w:tc>
          <w:tcPr/>
          <w:p>
            <w:pPr>
              <w:pStyle w:val="Compact"/>
            </w:pPr>
            <w:hyperlink r:id="rId33">
              <w:r>
                <w:rPr>
                  <w:rStyle w:val="Hyperlink"/>
                </w:rPr>
                <w:t xml:space="preserve">Netskope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05, 06</w:t>
            </w:r>
          </w:p>
        </w:tc>
        <w:tc>
          <w:tcPr/>
          <w:p>
            <w:pPr>
              <w:pStyle w:val="Compact"/>
            </w:pPr>
            <w:r>
              <w:t xml:space="preserve">Netskope One administrator/professional and SASE accreditation</w:t>
            </w:r>
          </w:p>
        </w:tc>
      </w:tr>
    </w:tbl>
    <w:bookmarkEnd w:id="34"/>
    <w:bookmarkStart w:id="35" w:name="data-platform"/>
    <w:p>
      <w:pPr>
        <w:pStyle w:val="Heading1"/>
      </w:pPr>
      <w:r>
        <w:t xml:space="preserve">6. Data Platform</w:t>
      </w:r>
    </w:p>
    <w:p>
      <w:pPr>
        <w:pStyle w:val="TableCaption"/>
      </w:pPr>
      <w:r>
        <w:t xml:space="preserve">Data-platform training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Data-platform training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</w:t>
            </w:r>
          </w:p>
        </w:tc>
        <w:tc>
          <w:tcPr/>
          <w:p>
            <w:pPr>
              <w:pStyle w:val="Compact"/>
            </w:pPr>
            <w:r>
              <w:t xml:space="preserve">DP-300 + SQL learning paths (see</w:t>
            </w:r>
            <w:r>
              <w:t xml:space="preserve"> </w:t>
            </w:r>
            <w:hyperlink w:anchor="microsoft">
              <w:r>
                <w:rPr>
                  <w:rStyle w:val="Hyperlink"/>
                </w:rPr>
                <w:t xml:space="preserve">§Microsoft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Vol II Bk 01–03</w:t>
            </w:r>
          </w:p>
        </w:tc>
        <w:tc>
          <w:tcPr/>
          <w:p>
            <w:pPr>
              <w:pStyle w:val="Compact"/>
            </w:pPr>
            <w:r>
              <w:t xml:space="preserve">Authentication modernization, managed instance patterns, HA/DR for consolidation</w:t>
            </w:r>
          </w:p>
        </w:tc>
      </w:tr>
    </w:tbl>
    <w:bookmarkEnd w:id="35"/>
    <w:bookmarkStart w:id="42" w:name="security-operations"/>
    <w:p>
      <w:pPr>
        <w:pStyle w:val="Heading1"/>
      </w:pPr>
      <w:r>
        <w:t xml:space="preserve">7. Security Operations</w:t>
      </w:r>
    </w:p>
    <w:p>
      <w:pPr>
        <w:pStyle w:val="TableCaption"/>
      </w:pPr>
      <w:r>
        <w:t xml:space="preserve">Security-operations training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Security-operations training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</w:t>
            </w:r>
          </w:p>
        </w:tc>
        <w:tc>
          <w:tcPr/>
          <w:p>
            <w:pPr>
              <w:pStyle w:val="Compact"/>
            </w:pPr>
            <w:r>
              <w:t xml:space="preserve">SC-200 (see</w:t>
            </w:r>
            <w:r>
              <w:t xml:space="preserve"> </w:t>
            </w:r>
            <w:hyperlink w:anchor="microsoft">
              <w:r>
                <w:rPr>
                  <w:rStyle w:val="Hyperlink"/>
                </w:rPr>
                <w:t xml:space="preserve">§Microsoft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Vol III Bk 02, 06</w:t>
            </w:r>
          </w:p>
        </w:tc>
        <w:tc>
          <w:tcPr/>
          <w:p>
            <w:pPr>
              <w:pStyle w:val="Compact"/>
            </w:pPr>
            <w:r>
              <w:t xml:space="preserve">Sentinel + Defender — the reference SIEM/XDR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Splunk</w:t>
            </w:r>
          </w:p>
        </w:tc>
        <w:tc>
          <w:tcPr/>
          <w:p>
            <w:pPr>
              <w:pStyle w:val="Compact"/>
            </w:pPr>
            <w:hyperlink r:id="rId36">
              <w:r>
                <w:rPr>
                  <w:rStyle w:val="Hyperlink"/>
                </w:rPr>
                <w:t xml:space="preserve">Splunk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06</w:t>
            </w:r>
          </w:p>
        </w:tc>
        <w:tc>
          <w:tcPr/>
          <w:p>
            <w:pPr>
              <w:pStyle w:val="Compact"/>
            </w:pPr>
            <w:r>
              <w:t xml:space="preserve">Portable SIEM/detection fundamentals for mixed SIEM estates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Elastic</w:t>
            </w:r>
          </w:p>
        </w:tc>
        <w:tc>
          <w:tcPr/>
          <w:p>
            <w:pPr>
              <w:pStyle w:val="Compact"/>
            </w:pPr>
            <w:hyperlink r:id="rId37">
              <w:r>
                <w:rPr>
                  <w:rStyle w:val="Hyperlink"/>
                </w:rPr>
                <w:t xml:space="preserve">Elastic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06</w:t>
            </w:r>
          </w:p>
        </w:tc>
        <w:tc>
          <w:tcPr/>
          <w:p>
            <w:pPr>
              <w:pStyle w:val="Compact"/>
            </w:pPr>
            <w:r>
              <w:t xml:space="preserve">Detection-engineering concepts transfer; same rationale as Splunk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SANS</w:t>
            </w:r>
          </w:p>
        </w:tc>
        <w:tc>
          <w:tcPr/>
          <w:p>
            <w:pPr>
              <w:pStyle w:val="Compact"/>
            </w:pPr>
            <w:hyperlink r:id="rId38">
              <w:r>
                <w:rPr>
                  <w:rStyle w:val="Hyperlink"/>
                </w:rPr>
                <w:t xml:space="preserve">SANS course catalog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01, 02, 06 · Vol IV Bk 05</w:t>
            </w:r>
          </w:p>
        </w:tc>
        <w:tc>
          <w:tcPr/>
          <w:p>
            <w:pPr>
              <w:pStyle w:val="Compact"/>
            </w:pPr>
            <w:r>
              <w:t xml:space="preserve">Instructor-led depth (detection, vuln mgmt, privileged access); GIAC-certifiable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ISC2</w:t>
            </w:r>
          </w:p>
        </w:tc>
        <w:tc>
          <w:tcPr/>
          <w:p>
            <w:pPr>
              <w:pStyle w:val="Compact"/>
            </w:pPr>
            <w:hyperlink r:id="rId39">
              <w:r>
                <w:rPr>
                  <w:rStyle w:val="Hyperlink"/>
                </w:rPr>
                <w:t xml:space="preserve">ISC2 certifications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0 Bk 00 · Vol IV Bk 03</w:t>
            </w:r>
          </w:p>
        </w:tc>
        <w:tc>
          <w:tcPr/>
          <w:p>
            <w:pPr>
              <w:pStyle w:val="Compact"/>
            </w:pPr>
            <w:r>
              <w:t xml:space="preserve">CISSP/CGRC-track governance framing for program leads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Tenable</w:t>
            </w:r>
          </w:p>
        </w:tc>
        <w:tc>
          <w:tcPr/>
          <w:p>
            <w:pPr>
              <w:pStyle w:val="Compact"/>
            </w:pPr>
            <w:hyperlink r:id="rId40">
              <w:r>
                <w:rPr>
                  <w:rStyle w:val="Hyperlink"/>
                </w:rPr>
                <w:t xml:space="preserve">Tenable education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02</w:t>
            </w:r>
          </w:p>
        </w:tc>
        <w:tc>
          <w:tcPr/>
          <w:p>
            <w:pPr>
              <w:pStyle w:val="Compact"/>
            </w:pPr>
            <w:r>
              <w:t xml:space="preserve">Nessus / Tenable VM — alternative vuln-management stack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Qualys</w:t>
            </w:r>
          </w:p>
        </w:tc>
        <w:tc>
          <w:tcPr/>
          <w:p>
            <w:pPr>
              <w:pStyle w:val="Compact"/>
            </w:pPr>
            <w:hyperlink r:id="rId41">
              <w:r>
                <w:rPr>
                  <w:rStyle w:val="Hyperlink"/>
                </w:rPr>
                <w:t xml:space="preserve">Qualys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02</w:t>
            </w:r>
          </w:p>
        </w:tc>
        <w:tc>
          <w:tcPr/>
          <w:p>
            <w:pPr>
              <w:pStyle w:val="Compact"/>
            </w:pPr>
            <w:r>
              <w:t xml:space="preserve">Free certified courses with labs (VMDR, CSAM) — alternative-stack rationale</w:t>
            </w:r>
          </w:p>
        </w:tc>
      </w:tr>
    </w:tbl>
    <w:bookmarkEnd w:id="42"/>
    <w:bookmarkStart w:id="52" w:name="federal-compliance"/>
    <w:p>
      <w:pPr>
        <w:pStyle w:val="Heading1"/>
      </w:pPr>
      <w:r>
        <w:t xml:space="preserve">8. Federal &amp; Compliance</w:t>
      </w:r>
    </w:p>
    <w:p>
      <w:pPr>
        <w:pStyle w:val="TableCaption"/>
      </w:pPr>
      <w:r>
        <w:t xml:space="preserve">Federal &amp; compliance training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Federal &amp; compliance training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CISA</w:t>
            </w:r>
          </w:p>
        </w:tc>
        <w:tc>
          <w:tcPr/>
          <w:p>
            <w:pPr>
              <w:pStyle w:val="Compact"/>
            </w:pPr>
            <w:hyperlink r:id="rId43">
              <w:r>
                <w:rPr>
                  <w:rStyle w:val="Hyperlink"/>
                </w:rPr>
                <w:t xml:space="preserve">CISA Learning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02, 06 · Vol IV Bk 01, 05</w:t>
            </w:r>
          </w:p>
        </w:tc>
        <w:tc>
          <w:tcPr/>
          <w:p>
            <w:pPr>
              <w:pStyle w:val="Compact"/>
            </w:pPr>
            <w:r>
              <w:t xml:space="preserve">Free federal cyber training (successor to FedVTE) — IR, vuln mgmt, continuity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CISA</w:t>
            </w:r>
          </w:p>
        </w:tc>
        <w:tc>
          <w:tcPr/>
          <w:p>
            <w:pPr>
              <w:pStyle w:val="Compact"/>
            </w:pPr>
            <w:hyperlink r:id="rId44">
              <w:r>
                <w:rPr>
                  <w:rStyle w:val="Hyperlink"/>
                </w:rPr>
                <w:t xml:space="preserve">Training resources index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02, 06 · Vol IV Bk 01, 02</w:t>
            </w:r>
          </w:p>
        </w:tc>
        <w:tc>
          <w:tcPr/>
          <w:p>
            <w:pPr>
              <w:pStyle w:val="Compact"/>
            </w:pPr>
            <w:r>
              <w:t xml:space="preserve">KEV-driven vulnerability response and SCuBA-adjacent 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FedRAMP PMO</w:t>
            </w:r>
          </w:p>
        </w:tc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fedramp.gov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0 Bk 00 · Vol IV Bk 02, 03, 06</w:t>
            </w:r>
          </w:p>
        </w:tc>
        <w:tc>
          <w:tcPr/>
          <w:p>
            <w:pPr>
              <w:pStyle w:val="Compact"/>
            </w:pPr>
            <w:r>
              <w:t xml:space="preserve">20x program docs, KSI definitions, submission process — the Track A 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NIST</w:t>
            </w:r>
          </w:p>
        </w:tc>
        <w:tc>
          <w:tcPr/>
          <w:p>
            <w:pPr>
              <w:pStyle w:val="Compact"/>
            </w:pPr>
            <w:hyperlink r:id="rId45">
              <w:r>
                <w:rPr>
                  <w:rStyle w:val="Hyperlink"/>
                </w:rPr>
                <w:t xml:space="preserve">NICE Workforce Framework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IV Bk 03, 05</w:t>
            </w:r>
          </w:p>
        </w:tc>
        <w:tc>
          <w:tcPr/>
          <w:p>
            <w:pPr>
              <w:pStyle w:val="Compact"/>
            </w:pPr>
            <w:r>
              <w:t xml:space="preserve">Role/competency framework — maps program roles to workforce categories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AWS</w:t>
            </w:r>
          </w:p>
        </w:tc>
        <w:tc>
          <w:tcPr/>
          <w:p>
            <w:pPr>
              <w:pStyle w:val="Compact"/>
            </w:pPr>
            <w:hyperlink r:id="rId46">
              <w:r>
                <w:rPr>
                  <w:rStyle w:val="Hyperlink"/>
                </w:rPr>
                <w:t xml:space="preserve">AWS Skill Builder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06</w:t>
            </w:r>
          </w:p>
        </w:tc>
        <w:tc>
          <w:tcPr/>
          <w:p>
            <w:pPr>
              <w:pStyle w:val="Compact"/>
            </w:pPr>
            <w:r>
              <w:t xml:space="preserve">Amazon Connect training for the N8NN contact-center boundary exception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OpenSSF</w:t>
            </w:r>
          </w:p>
        </w:tc>
        <w:tc>
          <w:tcPr/>
          <w:p>
            <w:pPr>
              <w:pStyle w:val="Compact"/>
            </w:pPr>
            <w:hyperlink r:id="rId47">
              <w:r>
                <w:rPr>
                  <w:rStyle w:val="Hyperlink"/>
                </w:rPr>
                <w:t xml:space="preserve">OpenSSF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IV Bk 02</w:t>
            </w:r>
          </w:p>
        </w:tc>
        <w:tc>
          <w:tcPr/>
          <w:p>
            <w:pPr>
              <w:pStyle w:val="Compact"/>
            </w:pPr>
            <w:r>
              <w:t xml:space="preserve">Developing Secure Software (LFD121) — supply-chain fundamentals for the SBOM pipeline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Linux Foundation</w:t>
            </w:r>
          </w:p>
        </w:tc>
        <w:tc>
          <w:tcPr/>
          <w:p>
            <w:pPr>
              <w:pStyle w:val="Compact"/>
            </w:pPr>
            <w:hyperlink r:id="rId48">
              <w:r>
                <w:rPr>
                  <w:rStyle w:val="Hyperlink"/>
                </w:rPr>
                <w:t xml:space="preserve">Automating Supply Chain Security: SBOMs and Signatures (LFEL1007)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IV Bk 02</w:t>
            </w:r>
          </w:p>
        </w:tc>
        <w:tc>
          <w:tcPr/>
          <w:p>
            <w:pPr>
              <w:pStyle w:val="Compact"/>
            </w:pPr>
            <w:r>
              <w:t xml:space="preserve">Matches the Syft/SBOM/signing pipeline (CycloneDX, attestation, signing)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ISACA</w:t>
            </w:r>
          </w:p>
        </w:tc>
        <w:tc>
          <w:tcPr/>
          <w:p>
            <w:pPr>
              <w:pStyle w:val="Compact"/>
            </w:pPr>
            <w:hyperlink r:id="rId49">
              <w:r>
                <w:rPr>
                  <w:rStyle w:val="Hyperlink"/>
                </w:rPr>
                <w:t xml:space="preserve">ISACA credentialing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IV Bk 03</w:t>
            </w:r>
          </w:p>
        </w:tc>
        <w:tc>
          <w:tcPr/>
          <w:p>
            <w:pPr>
              <w:pStyle w:val="Compact"/>
            </w:pPr>
            <w:r>
              <w:t xml:space="preserve">CISM / CRISC governance and risk tracks for PM-governance roles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IAPP</w:t>
            </w:r>
          </w:p>
        </w:tc>
        <w:tc>
          <w:tcPr/>
          <w:p>
            <w:pPr>
              <w:pStyle w:val="Compact"/>
            </w:pPr>
            <w:hyperlink r:id="rId50">
              <w:r>
                <w:rPr>
                  <w:rStyle w:val="Hyperlink"/>
                </w:rPr>
                <w:t xml:space="preserve">IAPP certification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IV Bk 04</w:t>
            </w:r>
          </w:p>
        </w:tc>
        <w:tc>
          <w:tcPr/>
          <w:p>
            <w:pPr>
              <w:pStyle w:val="Compact"/>
            </w:pPr>
            <w:r>
              <w:t xml:space="preserve">CIPP/US and CIPM privacy training for the PT-family 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ServiceNow</w:t>
            </w:r>
          </w:p>
        </w:tc>
        <w:tc>
          <w:tcPr/>
          <w:p>
            <w:pPr>
              <w:pStyle w:val="Compact"/>
            </w:pPr>
            <w:hyperlink r:id="rId51">
              <w:r>
                <w:rPr>
                  <w:rStyle w:val="Hyperlink"/>
                </w:rPr>
                <w:t xml:space="preserve">ServiceNow University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06 · Vol IV Bk 03</w:t>
            </w:r>
          </w:p>
        </w:tc>
        <w:tc>
          <w:tcPr/>
          <w:p>
            <w:pPr>
              <w:pStyle w:val="Compact"/>
            </w:pPr>
            <w:r>
              <w:t xml:space="preserve">ITSM/CMDB training — the incident-ticket and evidence-workflow side; the reference implementation ships a ServiceNow adapter</w:t>
            </w:r>
          </w:p>
        </w:tc>
      </w:tr>
    </w:tbl>
    <w:bookmarkEnd w:id="52"/>
    <w:bookmarkStart w:id="57" w:name="lab-environments"/>
    <w:p>
      <w:pPr>
        <w:pStyle w:val="Heading1"/>
      </w:pPr>
      <w:r>
        <w:t xml:space="preserve">9. Lab Environments</w:t>
      </w:r>
    </w:p>
    <w:p>
      <w:pPr>
        <w:pStyle w:val="FirstParagraph"/>
      </w:pPr>
      <w:r>
        <w:t xml:space="preserve">Each Track B module ends with labs; the environments below stand up what those</w:t>
      </w:r>
      <w:r>
        <w:t xml:space="preserve"> </w:t>
      </w:r>
      <w:r>
        <w:t xml:space="preserve">labs need. Scripts are embedded in the manuscripts — this is documentation</w:t>
      </w:r>
      <w:r>
        <w:t xml:space="preserve"> </w:t>
      </w:r>
      <w:r>
        <w:t xml:space="preserve">source, not a runnable tree; copy the blocks into your own shell/tenant.</w:t>
      </w:r>
    </w:p>
    <w:bookmarkStart w:id="53" w:name="lab-tiers"/>
    <w:p>
      <w:pPr>
        <w:pStyle w:val="Heading2"/>
      </w:pPr>
      <w:r>
        <w:t xml:space="preserve">9.1 Lab Tiers</w:t>
      </w:r>
    </w:p>
    <w:p>
      <w:pPr>
        <w:pStyle w:val="TableCaption"/>
      </w:pPr>
      <w:r>
        <w:t xml:space="preserve">The three lab tiers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three lab tiers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What it needs</w:t>
            </w:r>
          </w:p>
        </w:tc>
        <w:tc>
          <w:tcPr/>
          <w:p>
            <w:pPr>
              <w:pStyle w:val="Compact"/>
            </w:pPr>
            <w:r>
              <w:t xml:space="preserve">Use when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F — fixture</w:t>
            </w:r>
          </w:p>
        </w:tc>
        <w:tc>
          <w:tcPr/>
          <w:p>
            <w:pPr>
              <w:pStyle w:val="Compact"/>
            </w:pPr>
            <w:r>
              <w:t xml:space="preserve">Nothing but this repo and Python</w:t>
            </w:r>
          </w:p>
        </w:tc>
        <w:tc>
          <w:tcPr/>
          <w:p>
            <w:pPr>
              <w:pStyle w:val="Compact"/>
            </w:pPr>
            <w:r>
              <w:t xml:space="preserve">You want the evidence-binding mechanics (slot YAML →</w:t>
            </w:r>
            <w:r>
              <w:t xml:space="preserve"> </w:t>
            </w:r>
            <w:r>
              <w:rPr>
                <w:rStyle w:val="VerbatimChar"/>
              </w:rPr>
              <w:t xml:space="preserve">&lt;engine&gt; oscal ksi-ar</w:t>
            </w:r>
            <w:r>
              <w:t xml:space="preserve">) with no cloud footprint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T — trial tenant</w:t>
            </w:r>
          </w:p>
        </w:tc>
        <w:tc>
          <w:tcPr/>
          <w:p>
            <w:pPr>
              <w:pStyle w:val="Compact"/>
            </w:pPr>
            <w:r>
              <w:t xml:space="preserve">A Microsoft 365 developer/trial tenant + Azure trial</w:t>
            </w:r>
          </w:p>
        </w:tc>
        <w:tc>
          <w:tcPr/>
          <w:p>
            <w:pPr>
              <w:pStyle w:val="Compact"/>
            </w:pPr>
            <w:r>
              <w:t xml:space="preserve">The access/identity, PIM, Sentinel, and Purview labs — full behavior, disposable blast radius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P — product eval</w:t>
            </w:r>
          </w:p>
        </w:tc>
        <w:tc>
          <w:tcPr/>
          <w:p>
            <w:pPr>
              <w:pStyle w:val="Compact"/>
            </w:pPr>
            <w:r>
              <w:t xml:space="preserve">A vendor eval (Infoblox/BlueCat) or containerized DNS/DHCP</w:t>
            </w:r>
          </w:p>
        </w:tc>
        <w:tc>
          <w:tcPr/>
          <w:p>
            <w:pPr>
              <w:pStyle w:val="Compact"/>
            </w:pPr>
            <w:r>
              <w:t xml:space="preserve">The DDI lab’s split-horizon and provisioning exercises</w:t>
            </w:r>
          </w:p>
        </w:tc>
      </w:tr>
    </w:tbl>
    <w:bookmarkEnd w:id="53"/>
    <w:bookmarkStart w:id="54" w:name="safety-rules-read-before-any-lab"/>
    <w:p>
      <w:pPr>
        <w:pStyle w:val="Heading2"/>
      </w:pPr>
      <w:r>
        <w:t xml:space="preserve">9.2 Safety Rules (Read Before Any Lab)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Never a production tenant.</w:t>
      </w:r>
      <w:r>
        <w:t xml:space="preserve"> </w:t>
      </w:r>
      <w:r>
        <w:t xml:space="preserve">Every lab assumes a disposable tenant or</w:t>
      </w:r>
      <w:r>
        <w:t xml:space="preserve"> </w:t>
      </w:r>
      <w:r>
        <w:t xml:space="preserve">subscription you can delete. PIM changes, CA policies, and DLP enforcement are</w:t>
      </w:r>
      <w:r>
        <w:t xml:space="preserve"> </w:t>
      </w:r>
      <w:r>
        <w:t xml:space="preserve">exactly the things that lock organizations out.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Report-only first.</w:t>
      </w:r>
      <w:r>
        <w:t xml:space="preserve"> </w:t>
      </w:r>
      <w:r>
        <w:t xml:space="preserve">Where a lab creates a Conditional Access or DLP policy,</w:t>
      </w:r>
      <w:r>
        <w:t xml:space="preserve"> </w:t>
      </w:r>
      <w:r>
        <w:t xml:space="preserve">it is created in report-only/simulation mode — the discipline Vol III Books 01</w:t>
      </w:r>
      <w:r>
        <w:t xml:space="preserve"> </w:t>
      </w:r>
      <w:r>
        <w:t xml:space="preserve">and 05 mandate for production.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Break-glass before lockdown.</w:t>
      </w:r>
      <w:r>
        <w:t xml:space="preserve"> </w:t>
      </w:r>
      <w:r>
        <w:t xml:space="preserve">The PIM lab creates its excluded emergency</w:t>
      </w:r>
      <w:r>
        <w:t xml:space="preserve"> </w:t>
      </w:r>
      <w:r>
        <w:t xml:space="preserve">account</w:t>
      </w:r>
      <w:r>
        <w:t xml:space="preserve"> </w:t>
      </w:r>
      <w:r>
        <w:rPr>
          <w:i/>
          <w:iCs/>
        </w:rPr>
        <w:t xml:space="preserve">first</w:t>
      </w:r>
      <w:r>
        <w:t xml:space="preserve">, mirroring Vol III Book 01’s ordering.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Teardown is part of the lab.</w:t>
      </w:r>
      <w:r>
        <w:t xml:space="preserve"> </w:t>
      </w:r>
      <w:r>
        <w:t xml:space="preserve">Each lab ends with a teardown block; run it.</w:t>
      </w:r>
      <w:r>
        <w:t xml:space="preserve"> </w:t>
      </w:r>
      <w:r>
        <w:t xml:space="preserve">Orphaned trial resources are how</w:t>
      </w:r>
      <w:r>
        <w:t xml:space="preserve"> </w:t>
      </w:r>
      <w:r>
        <w:t xml:space="preserve">“labs”</w:t>
      </w:r>
      <w:r>
        <w:t xml:space="preserve"> </w:t>
      </w:r>
      <w:r>
        <w:t xml:space="preserve">become shadow IT.</w:t>
      </w:r>
    </w:p>
    <w:bookmarkEnd w:id="54"/>
    <w:bookmarkStart w:id="55" w:name="lab-environment-setups"/>
    <w:p>
      <w:pPr>
        <w:pStyle w:val="Heading2"/>
      </w:pPr>
      <w:r>
        <w:t xml:space="preserve">9.3 Lab Environment Setups</w:t>
      </w:r>
    </w:p>
    <w:p>
      <w:pPr>
        <w:pStyle w:val="TableCaption"/>
      </w:pPr>
      <w:r>
        <w:t xml:space="preserve">Lab environment setups by 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Lab environment setups by module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Lab</w:t>
            </w:r>
          </w:p>
        </w:tc>
        <w:tc>
          <w:tcPr/>
          <w:p>
            <w:pPr>
              <w:pStyle w:val="Compact"/>
            </w:pPr>
            <w:r>
              <w:t xml:space="preserve">Module</w:t>
            </w:r>
          </w:p>
        </w:tc>
        <w:tc>
          <w:tcPr/>
          <w:p>
            <w:pPr>
              <w:pStyle w:val="Compact"/>
            </w:pPr>
            <w:r>
              <w:t xml:space="preserve">Stack</w:t>
            </w:r>
          </w:p>
        </w:tc>
        <w:tc>
          <w:tcPr/>
          <w:p>
            <w:pPr>
              <w:pStyle w:val="Compact"/>
            </w:pPr>
            <w:r>
              <w:t xml:space="preserve">Tier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DDI (Vol I Bk 01)</w:t>
            </w:r>
          </w:p>
        </w:tc>
        <w:tc>
          <w:tcPr/>
          <w:p>
            <w:pPr>
              <w:pStyle w:val="Compact"/>
            </w:pPr>
            <w:r>
              <w:t xml:space="preserve">B1</w:t>
            </w:r>
          </w:p>
        </w:tc>
        <w:tc>
          <w:tcPr/>
          <w:p>
            <w:pPr>
              <w:pStyle w:val="Compact"/>
            </w:pPr>
            <w:r>
              <w:t xml:space="preserve">Infoblox eval or BIND/Kea containers + IPAM fixture</w:t>
            </w:r>
          </w:p>
        </w:tc>
        <w:tc>
          <w:tcPr/>
          <w:p>
            <w:pPr>
              <w:pStyle w:val="Compact"/>
            </w:pPr>
            <w:r>
              <w:t xml:space="preserve">P / F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&amp; identity (Vol I Bk 02–04)</w:t>
            </w:r>
          </w:p>
        </w:tc>
        <w:tc>
          <w:tcPr/>
          <w:p>
            <w:pPr>
              <w:pStyle w:val="Compact"/>
            </w:pPr>
            <w:r>
              <w:t xml:space="preserve">B2</w:t>
            </w:r>
          </w:p>
        </w:tc>
        <w:tc>
          <w:tcPr/>
          <w:p>
            <w:pPr>
              <w:pStyle w:val="Compact"/>
            </w:pPr>
            <w:r>
              <w:t xml:space="preserve">NPS/RADIUS + Intune SCEP; lab CA + ACME DNS-01; SCIM shadow-mode</w:t>
            </w:r>
          </w:p>
        </w:tc>
        <w:tc>
          <w:tcPr/>
          <w:p>
            <w:pPr>
              <w:pStyle w:val="Compact"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platform (Vol II Bk 01–03)</w:t>
            </w:r>
          </w:p>
        </w:tc>
        <w:tc>
          <w:tcPr/>
          <w:p>
            <w:pPr>
              <w:pStyle w:val="Compact"/>
            </w:pPr>
            <w:r>
              <w:t xml:space="preserve">B4</w:t>
            </w:r>
          </w:p>
        </w:tc>
        <w:tc>
          <w:tcPr/>
          <w:p>
            <w:pPr>
              <w:pStyle w:val="Compact"/>
            </w:pPr>
            <w:r>
              <w:t xml:space="preserve">SQL Server 2022 container or Azure SQL trial + Entra-integrated auth</w:t>
            </w:r>
          </w:p>
        </w:tc>
        <w:tc>
          <w:tcPr/>
          <w:p>
            <w:pPr>
              <w:pStyle w:val="Compact"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PIM &amp; privileged access (Vol III Bk 01)</w:t>
            </w:r>
          </w:p>
        </w:tc>
        <w:tc>
          <w:tcPr/>
          <w:p>
            <w:pPr>
              <w:pStyle w:val="Compact"/>
            </w:pPr>
            <w:r>
              <w:t xml:space="preserve">B5</w:t>
            </w:r>
          </w:p>
        </w:tc>
        <w:tc>
          <w:tcPr/>
          <w:p>
            <w:pPr>
              <w:pStyle w:val="Compact"/>
            </w:pPr>
            <w:r>
              <w:t xml:space="preserve">Entra ID P2, Intune, Graph PowerShell</w:t>
            </w:r>
          </w:p>
        </w:tc>
        <w:tc>
          <w:tcPr/>
          <w:p>
            <w:pPr>
              <w:pStyle w:val="Compact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Sentinel detection (Vol III Bk 02/06)</w:t>
            </w:r>
          </w:p>
        </w:tc>
        <w:tc>
          <w:tcPr/>
          <w:p>
            <w:pPr>
              <w:pStyle w:val="Compact"/>
            </w:pPr>
            <w:r>
              <w:t xml:space="preserve">B6</w:t>
            </w:r>
          </w:p>
        </w:tc>
        <w:tc>
          <w:tcPr/>
          <w:p>
            <w:pPr>
              <w:pStyle w:val="Compact"/>
            </w:pPr>
            <w:r>
              <w:t xml:space="preserve">Log Analytics + Sentinel, one forwarder VM</w:t>
            </w:r>
          </w:p>
        </w:tc>
        <w:tc>
          <w:tcPr/>
          <w:p>
            <w:pPr>
              <w:pStyle w:val="Compact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Purview data protection (Vol III Bk 05)</w:t>
            </w:r>
          </w:p>
        </w:tc>
        <w:tc>
          <w:tcPr/>
          <w:p>
            <w:pPr>
              <w:pStyle w:val="Compact"/>
            </w:pPr>
            <w:r>
              <w:t xml:space="preserve">B6</w:t>
            </w:r>
          </w:p>
        </w:tc>
        <w:tc>
          <w:tcPr/>
          <w:p>
            <w:pPr>
              <w:pStyle w:val="Compact"/>
            </w:pPr>
            <w:r>
              <w:t xml:space="preserve">Purview labels/DLP, Key Vault Premium</w:t>
            </w:r>
          </w:p>
        </w:tc>
        <w:tc>
          <w:tcPr/>
          <w:p>
            <w:pPr>
              <w:pStyle w:val="Compact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Modules B3 (network/telecom SD-WAN/SASE), B7 (resilience/governance), and B8</w:t>
      </w:r>
      <w:r>
        <w:t xml:space="preserve"> </w:t>
      </w:r>
      <w:r>
        <w:t xml:space="preserve">(authorize &amp; operate) intentionally have no tenant lab: B3 needs vendor SD-WAN</w:t>
      </w:r>
      <w:r>
        <w:t xml:space="preserve"> </w:t>
      </w:r>
      <w:r>
        <w:t xml:space="preserve">gear or eval licenses (track via the vendor tables above), while B7 and B8 are</w:t>
      </w:r>
      <w:r>
        <w:t xml:space="preserve"> </w:t>
      </w:r>
      <w:r>
        <w:t xml:space="preserve">document- and CI-shaped (SBOM workflow on any repo, tabletop exercise, OSCAL</w:t>
      </w:r>
      <w:r>
        <w:t xml:space="preserve"> </w:t>
      </w:r>
      <w:r>
        <w:t xml:space="preserve">bundle generation, training-record JSON validation) — they run anywhere, Tier F.</w:t>
      </w:r>
    </w:p>
    <w:bookmarkEnd w:id="55"/>
    <w:bookmarkStart w:id="56" w:name="the-common-final-step-bind-the-evidence"/>
    <w:p>
      <w:pPr>
        <w:pStyle w:val="Heading2"/>
      </w:pPr>
      <w:r>
        <w:t xml:space="preserve">9.4 The Common Final Step — Bind the Evidence</w:t>
      </w:r>
    </w:p>
    <w:p>
      <w:pPr>
        <w:pStyle w:val="FirstParagraph"/>
      </w:pPr>
      <w:r>
        <w:t xml:space="preserve">Every lab ends the same way, regardless of tier: place the produced artifact</w:t>
      </w:r>
      <w:r>
        <w:t xml:space="preserve"> </w:t>
      </w:r>
      <w:r>
        <w:t xml:space="preserve">where a slot mapping can reference it, then regenerate verdicts:</w:t>
      </w:r>
    </w:p>
    <w:p>
      <w:pPr>
        <w:pStyle w:val="SourceCode"/>
      </w:pP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oscal </w:t>
      </w:r>
      <w:r>
        <w:rPr>
          <w:rStyle w:val="ExtensionTok"/>
        </w:rPr>
        <w:t xml:space="preserve">ksi-ar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--output</w:t>
      </w:r>
      <w:r>
        <w:rPr>
          <w:rStyle w:val="NormalTok"/>
        </w:rPr>
        <w:t xml:space="preserve"> exports/oscal/ksi-ar.json</w:t>
      </w:r>
    </w:p>
    <w:p>
      <w:pPr>
        <w:pStyle w:val="FirstParagraph"/>
      </w:pPr>
      <w:r>
        <w:t xml:space="preserve">The Vol V Book 03 rubrics score what you produce.</w:t>
      </w:r>
    </w:p>
    <w:bookmarkEnd w:id="56"/>
    <w:bookmarkEnd w:id="57"/>
    <w:bookmarkStart w:id="58" w:name="cost-notes"/>
    <w:p>
      <w:pPr>
        <w:pStyle w:val="Heading1"/>
      </w:pPr>
      <w:r>
        <w:t xml:space="preserve">10. Cost Notes</w:t>
      </w:r>
    </w:p>
    <w:p>
      <w:pPr>
        <w:pStyle w:val="Compact"/>
        <w:numPr>
          <w:ilvl w:val="0"/>
          <w:numId w:val="1002"/>
        </w:numPr>
      </w:pPr>
      <w:r>
        <w:t xml:space="preserve">M365 E5 developer/trial tenants cover Entra ID P2 (PIM), Purview, and Defender</w:t>
      </w:r>
      <w:r>
        <w:t xml:space="preserve"> </w:t>
      </w:r>
      <w:r>
        <w:t xml:space="preserve">features for the trial window.</w:t>
      </w:r>
    </w:p>
    <w:p>
      <w:pPr>
        <w:pStyle w:val="Compact"/>
        <w:numPr>
          <w:ilvl w:val="0"/>
          <w:numId w:val="1002"/>
        </w:numPr>
      </w:pPr>
      <w:r>
        <w:t xml:space="preserve">Sentinel bills per GB ingested — the lab keeps ingestion in the free-tier range</w:t>
      </w:r>
      <w:r>
        <w:t xml:space="preserve"> </w:t>
      </w:r>
      <w:r>
        <w:t xml:space="preserve">by using a single VM/forwarder and seeded events.</w:t>
      </w:r>
    </w:p>
    <w:p>
      <w:pPr>
        <w:pStyle w:val="Compact"/>
        <w:numPr>
          <w:ilvl w:val="0"/>
          <w:numId w:val="1002"/>
        </w:numPr>
      </w:pPr>
      <w:r>
        <w:t xml:space="preserve">Infoblox/BlueCat evals are vendor-arranged; the Tier-F fixture path needs no</w:t>
      </w:r>
      <w:r>
        <w:t xml:space="preserve"> </w:t>
      </w:r>
      <w:r>
        <w:t xml:space="preserve">license.</w:t>
      </w:r>
    </w:p>
    <w:bookmarkEnd w:id="58"/>
    <w:bookmarkStart w:id="59" w:name="research-queue"/>
    <w:p>
      <w:pPr>
        <w:pStyle w:val="Heading1"/>
      </w:pPr>
      <w:r>
        <w:t xml:space="preserve">11. Research Queue</w:t>
      </w:r>
    </w:p>
    <w:p>
      <w:pPr>
        <w:pStyle w:val="FirstParagraph"/>
      </w:pPr>
      <w:r>
        <w:t xml:space="preserve">Candidates identified but not yet verified — next expansion pass: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Instructor-led Compliance cohort design</w:t>
      </w:r>
      <w:r>
        <w:t xml:space="preserve"> </w:t>
      </w:r>
      <w:r>
        <w:t xml:space="preserve">— whether any vendor offers</w:t>
      </w:r>
      <w:r>
        <w:t xml:space="preserve"> </w:t>
      </w:r>
      <w:r>
        <w:t xml:space="preserve">application-aware-networking-specific curriculum worth licensing, vs. composing</w:t>
      </w:r>
      <w:r>
        <w:t xml:space="preserve"> </w:t>
      </w:r>
      <w:r>
        <w:t xml:space="preserve">from the product training above.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Zscaler Government Academy</w:t>
      </w:r>
      <w:r>
        <w:t xml:space="preserve"> </w:t>
      </w:r>
      <w:r>
        <w:t xml:space="preserve">— the federal-specific variant vs. the</w:t>
      </w:r>
      <w:r>
        <w:t xml:space="preserve"> </w:t>
      </w:r>
      <w:r>
        <w:t xml:space="preserve">commercial Cyber Academy for GCC boundary relevance.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CDM program training</w:t>
      </w:r>
      <w:r>
        <w:t xml:space="preserve"> </w:t>
      </w:r>
      <w:r>
        <w:t xml:space="preserve">— DHS/CISA Continuous Diagnostics and Mitigation</w:t>
      </w:r>
      <w:r>
        <w:t xml:space="preserve"> </w:t>
      </w:r>
      <w:r>
        <w:t xml:space="preserve">training for the Vol III Book 02 KEV-upload workflow.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Security-awareness platforms (KnowBe4, Proofpoint)</w:t>
      </w:r>
      <w:r>
        <w:t xml:space="preserve"> </w:t>
      </w:r>
      <w:r>
        <w:t xml:space="preserve">— Vol IV Book 05 names</w:t>
      </w:r>
      <w:r>
        <w:t xml:space="preserve"> </w:t>
      </w:r>
      <w:r>
        <w:t xml:space="preserve">them in its delivery trade-space; verify their academy portals and GCC</w:t>
      </w:r>
      <w:r>
        <w:t xml:space="preserve"> </w:t>
      </w:r>
      <w:r>
        <w:t xml:space="preserve">suitability before adding rows.</w:t>
      </w:r>
    </w:p>
    <w:bookmarkEnd w:id="59"/>
    <w:bookmarkStart w:id="60" w:name="series-context-vol-v-book-04"/>
    <w:p>
      <w:pPr>
        <w:pStyle w:val="Heading1"/>
      </w:pPr>
      <w:r>
        <w:t xml:space="preserve">12. Series Context — Vol V Book 04</w:t>
      </w:r>
    </w:p>
    <w:p>
      <w:pPr>
        <w:pStyle w:val="FirstParagraph"/>
      </w:pPr>
      <w:r>
        <w:t xml:space="preserve">This book is the realization layer of Volume V and the one place the volume names</w:t>
      </w:r>
      <w:r>
        <w:t xml:space="preserve"> </w:t>
      </w:r>
      <w:r>
        <w:t xml:space="preserve">vendors — deliberately, as Theme F prescribes: one mechanism, N accredited</w:t>
      </w:r>
      <w:r>
        <w:t xml:space="preserve"> </w:t>
      </w:r>
      <w:r>
        <w:t xml:space="preserve">products. It supplies the external training the implementation track (Vol V</w:t>
      </w:r>
      <w:r>
        <w:t xml:space="preserve"> </w:t>
      </w:r>
      <w:r>
        <w:t xml:space="preserve">Book 02) points to for product skill, and the lab environments where that track’s</w:t>
      </w:r>
      <w:r>
        <w:t xml:space="preserve"> </w:t>
      </w:r>
      <w:r>
        <w:t xml:space="preserve">builds are exercised and their evidence produced. The artifacts the labs generate</w:t>
      </w:r>
      <w:r>
        <w:t xml:space="preserve"> </w:t>
      </w:r>
      <w:r>
        <w:t xml:space="preserve">are bound per the common final step and scored against Vol V Book 03’s rubrics.</w:t>
      </w:r>
      <w:r>
        <w:t xml:space="preserve"> </w:t>
      </w:r>
      <w:r>
        <w:t xml:space="preserve">Kept function-first everywhere else, the series confines its vendor surface here —</w:t>
      </w:r>
      <w:r>
        <w:t xml:space="preserve"> </w:t>
      </w:r>
      <w:r>
        <w:t xml:space="preserve">so the doctrine of Books 00–03 stays clean while the learner still gets a</w:t>
      </w:r>
      <w:r>
        <w:t xml:space="preserve"> </w:t>
      </w:r>
      <w:r>
        <w:t xml:space="preserve">concrete, buyable path to the skills.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Federal Compliance — Vol V Book 04 of the series. Volume V is</w:t>
      </w:r>
      <w:r>
        <w:rPr>
          <w:i/>
          <w:iCs/>
        </w:rPr>
        <w:t xml:space="preserve"> </w:t>
      </w:r>
      <w:r>
        <w:rPr>
          <w:i/>
          <w:iCs/>
        </w:rPr>
        <w:t xml:space="preserve">the enablement layer; this book is its realization layer — external vendor</w:t>
      </w:r>
      <w:r>
        <w:rPr>
          <w:i/>
          <w:iCs/>
        </w:rPr>
        <w:t xml:space="preserve"> </w:t>
      </w:r>
      <w:r>
        <w:rPr>
          <w:i/>
          <w:iCs/>
        </w:rPr>
        <w:t xml:space="preserve">training mapped per volume and the scripted lab environments for the</w:t>
      </w:r>
      <w:r>
        <w:rPr>
          <w:i/>
          <w:iCs/>
        </w:rPr>
        <w:t xml:space="preserve"> </w:t>
      </w:r>
      <w:r>
        <w:rPr>
          <w:i/>
          <w:iCs/>
        </w:rPr>
        <w:t xml:space="preserve">implementation track. Vendor names appear here by necessity (Theme F, Mechanism</w:t>
      </w:r>
      <w:r>
        <w:rPr>
          <w:i/>
          <w:iCs/>
        </w:rPr>
        <w:t xml:space="preserve"> </w:t>
      </w:r>
      <w:r>
        <w:rPr>
          <w:i/>
          <w:iCs/>
        </w:rPr>
        <w:t xml:space="preserve">Not Product) and imply no endorsement or procurement decision; verify FedRAMP /</w:t>
      </w:r>
      <w:r>
        <w:rPr>
          <w:i/>
          <w:iCs/>
        </w:rPr>
        <w:t xml:space="preserve"> </w:t>
      </w:r>
      <w:r>
        <w:rPr>
          <w:i/>
          <w:iCs/>
        </w:rPr>
        <w:t xml:space="preserve">federal accreditation status at procurement time. This is companion training</w:t>
      </w:r>
      <w:r>
        <w:rPr>
          <w:i/>
          <w:iCs/>
        </w:rPr>
        <w:t xml:space="preserve"> </w:t>
      </w:r>
      <w:r>
        <w:rPr>
          <w:i/>
          <w:iCs/>
        </w:rPr>
        <w:t xml:space="preserve">material, self-assessed and advisory, pending independent review.</w:t>
      </w:r>
    </w:p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https://bluecatnetworks.com/services/training/" TargetMode="External" /><Relationship Type="http://schemas.openxmlformats.org/officeDocument/2006/relationships/hyperlink" Id="rId50" Target="https://iapp.org/certify" TargetMode="External" /><Relationship Type="http://schemas.openxmlformats.org/officeDocument/2006/relationships/hyperlink" Id="rId17" Target="https://learn.microsoft.com/en-us/credentials/certifications/azure-database-administrator-associate/" TargetMode="External" /><Relationship Type="http://schemas.openxmlformats.org/officeDocument/2006/relationships/hyperlink" Id="rId13" Target="https://learn.microsoft.com/en-us/credentials/certifications/azure-network-engineer-associate/" TargetMode="External" /><Relationship Type="http://schemas.openxmlformats.org/officeDocument/2006/relationships/hyperlink" Id="rId18" Target="https://learn.microsoft.com/en-us/credentials/certifications/azure-security-engineer/" TargetMode="External" /><Relationship Type="http://schemas.openxmlformats.org/officeDocument/2006/relationships/hyperlink" Id="rId19" Target="https://learn.microsoft.com/en-us/credentials/certifications/cybersecurity-architect-expert/" TargetMode="External" /><Relationship Type="http://schemas.openxmlformats.org/officeDocument/2006/relationships/hyperlink" Id="rId14" Target="https://learn.microsoft.com/en-us/credentials/certifications/identity-and-access-administrator/" TargetMode="External" /><Relationship Type="http://schemas.openxmlformats.org/officeDocument/2006/relationships/hyperlink" Id="rId16" Target="https://learn.microsoft.com/en-us/credentials/certifications/information-security-administrator/" TargetMode="External" /><Relationship Type="http://schemas.openxmlformats.org/officeDocument/2006/relationships/hyperlink" Id="rId15" Target="https://learn.microsoft.com/en-us/credentials/certifications/security-operations-analyst/" TargetMode="External" /><Relationship Type="http://schemas.openxmlformats.org/officeDocument/2006/relationships/hyperlink" Id="rId20" Target="https://learn.microsoft.com/en-us/training/" TargetMode="External" /><Relationship Type="http://schemas.openxmlformats.org/officeDocument/2006/relationships/hyperlink" Id="rId43" Target="https://learning.cisa.gov/" TargetMode="External" /><Relationship Type="http://schemas.openxmlformats.org/officeDocument/2006/relationships/hyperlink" Id="rId51" Target="https://learning.servicenow.com/" TargetMode="External" /><Relationship Type="http://schemas.openxmlformats.org/officeDocument/2006/relationships/hyperlink" Id="rId47" Target="https://openssf.org/training/" TargetMode="External" /><Relationship Type="http://schemas.openxmlformats.org/officeDocument/2006/relationships/hyperlink" Id="rId46" Target="https://skillbuilder.aws/" TargetMode="External" /><Relationship Type="http://schemas.openxmlformats.org/officeDocument/2006/relationships/hyperlink" Id="rId30" Target="https://training.fortinet.com/" TargetMode="External" /><Relationship Type="http://schemas.openxmlformats.org/officeDocument/2006/relationships/hyperlink" Id="rId48" Target="https://training.linuxfoundation.org/express-learning/automating-supply-chain-security-sboms-and-signatures-lfel1007/" TargetMode="External" /><Relationship Type="http://schemas.openxmlformats.org/officeDocument/2006/relationships/hyperlink" Id="rId22" Target="https://u.cisco.com/" TargetMode="External" /><Relationship Type="http://schemas.openxmlformats.org/officeDocument/2006/relationships/hyperlink" Id="rId44" Target="https://www.cisa.gov/resources-tools/training" TargetMode="External" /><Relationship Type="http://schemas.openxmlformats.org/officeDocument/2006/relationships/hyperlink" Id="rId27" Target="https://www.comptia.org/" TargetMode="External" /><Relationship Type="http://schemas.openxmlformats.org/officeDocument/2006/relationships/hyperlink" Id="rId37" Target="https://www.elastic.co/training/" TargetMode="External" /><Relationship Type="http://schemas.openxmlformats.org/officeDocument/2006/relationships/hyperlink" Id="rId10" Target="https://www.fedramp.gov/" TargetMode="External" /><Relationship Type="http://schemas.openxmlformats.org/officeDocument/2006/relationships/hyperlink" Id="rId25" Target="https://www.infoblox.com/infoblox-education/" TargetMode="External" /><Relationship Type="http://schemas.openxmlformats.org/officeDocument/2006/relationships/hyperlink" Id="rId49" Target="https://www.isaca.org/credentialing/certifications" TargetMode="External" /><Relationship Type="http://schemas.openxmlformats.org/officeDocument/2006/relationships/hyperlink" Id="rId39" Target="https://www.isc2.org/" TargetMode="External" /><Relationship Type="http://schemas.openxmlformats.org/officeDocument/2006/relationships/hyperlink" Id="rId24" Target="https://www.juniper.net/" TargetMode="External" /><Relationship Type="http://schemas.openxmlformats.org/officeDocument/2006/relationships/hyperlink" Id="rId23" Target="https://www.netacad.com/" TargetMode="External" /><Relationship Type="http://schemas.openxmlformats.org/officeDocument/2006/relationships/hyperlink" Id="rId33" Target="https://www.netskope.com/training" TargetMode="External" /><Relationship Type="http://schemas.openxmlformats.org/officeDocument/2006/relationships/hyperlink" Id="rId45" Target="https://www.nist.gov/itl/applied-cybersecurity/nice" TargetMode="External" /><Relationship Type="http://schemas.openxmlformats.org/officeDocument/2006/relationships/hyperlink" Id="rId31" Target="https://www.paloaltonetworks.com/services/education" TargetMode="External" /><Relationship Type="http://schemas.openxmlformats.org/officeDocument/2006/relationships/hyperlink" Id="rId41" Target="https://www.qualys.com/training/" TargetMode="External" /><Relationship Type="http://schemas.openxmlformats.org/officeDocument/2006/relationships/hyperlink" Id="rId29" Target="https://www.sailpoint.com/university" TargetMode="External" /><Relationship Type="http://schemas.openxmlformats.org/officeDocument/2006/relationships/hyperlink" Id="rId38" Target="https://www.sans.org/cyber-security-courses/" TargetMode="External" /><Relationship Type="http://schemas.openxmlformats.org/officeDocument/2006/relationships/hyperlink" Id="rId36" Target="https://www.splunk.com/en_us/training.html" TargetMode="External" /><Relationship Type="http://schemas.openxmlformats.org/officeDocument/2006/relationships/hyperlink" Id="rId40" Target="https://www.tenable.com/education" TargetMode="External" /><Relationship Type="http://schemas.openxmlformats.org/officeDocument/2006/relationships/hyperlink" Id="rId32" Target="https://www.zscaler.com/zscaler-cyber-academ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bluecatnetworks.com/services/training/" TargetMode="External" /><Relationship Type="http://schemas.openxmlformats.org/officeDocument/2006/relationships/hyperlink" Id="rId50" Target="https://iapp.org/certify" TargetMode="External" /><Relationship Type="http://schemas.openxmlformats.org/officeDocument/2006/relationships/hyperlink" Id="rId17" Target="https://learn.microsoft.com/en-us/credentials/certifications/azure-database-administrator-associate/" TargetMode="External" /><Relationship Type="http://schemas.openxmlformats.org/officeDocument/2006/relationships/hyperlink" Id="rId13" Target="https://learn.microsoft.com/en-us/credentials/certifications/azure-network-engineer-associate/" TargetMode="External" /><Relationship Type="http://schemas.openxmlformats.org/officeDocument/2006/relationships/hyperlink" Id="rId18" Target="https://learn.microsoft.com/en-us/credentials/certifications/azure-security-engineer/" TargetMode="External" /><Relationship Type="http://schemas.openxmlformats.org/officeDocument/2006/relationships/hyperlink" Id="rId19" Target="https://learn.microsoft.com/en-us/credentials/certifications/cybersecurity-architect-expert/" TargetMode="External" /><Relationship Type="http://schemas.openxmlformats.org/officeDocument/2006/relationships/hyperlink" Id="rId14" Target="https://learn.microsoft.com/en-us/credentials/certifications/identity-and-access-administrator/" TargetMode="External" /><Relationship Type="http://schemas.openxmlformats.org/officeDocument/2006/relationships/hyperlink" Id="rId16" Target="https://learn.microsoft.com/en-us/credentials/certifications/information-security-administrator/" TargetMode="External" /><Relationship Type="http://schemas.openxmlformats.org/officeDocument/2006/relationships/hyperlink" Id="rId15" Target="https://learn.microsoft.com/en-us/credentials/certifications/security-operations-analyst/" TargetMode="External" /><Relationship Type="http://schemas.openxmlformats.org/officeDocument/2006/relationships/hyperlink" Id="rId20" Target="https://learn.microsoft.com/en-us/training/" TargetMode="External" /><Relationship Type="http://schemas.openxmlformats.org/officeDocument/2006/relationships/hyperlink" Id="rId43" Target="https://learning.cisa.gov/" TargetMode="External" /><Relationship Type="http://schemas.openxmlformats.org/officeDocument/2006/relationships/hyperlink" Id="rId51" Target="https://learning.servicenow.com/" TargetMode="External" /><Relationship Type="http://schemas.openxmlformats.org/officeDocument/2006/relationships/hyperlink" Id="rId47" Target="https://openssf.org/training/" TargetMode="External" /><Relationship Type="http://schemas.openxmlformats.org/officeDocument/2006/relationships/hyperlink" Id="rId46" Target="https://skillbuilder.aws/" TargetMode="External" /><Relationship Type="http://schemas.openxmlformats.org/officeDocument/2006/relationships/hyperlink" Id="rId30" Target="https://training.fortinet.com/" TargetMode="External" /><Relationship Type="http://schemas.openxmlformats.org/officeDocument/2006/relationships/hyperlink" Id="rId48" Target="https://training.linuxfoundation.org/express-learning/automating-supply-chain-security-sboms-and-signatures-lfel1007/" TargetMode="External" /><Relationship Type="http://schemas.openxmlformats.org/officeDocument/2006/relationships/hyperlink" Id="rId22" Target="https://u.cisco.com/" TargetMode="External" /><Relationship Type="http://schemas.openxmlformats.org/officeDocument/2006/relationships/hyperlink" Id="rId44" Target="https://www.cisa.gov/resources-tools/training" TargetMode="External" /><Relationship Type="http://schemas.openxmlformats.org/officeDocument/2006/relationships/hyperlink" Id="rId27" Target="https://www.comptia.org/" TargetMode="External" /><Relationship Type="http://schemas.openxmlformats.org/officeDocument/2006/relationships/hyperlink" Id="rId37" Target="https://www.elastic.co/training/" TargetMode="External" /><Relationship Type="http://schemas.openxmlformats.org/officeDocument/2006/relationships/hyperlink" Id="rId10" Target="https://www.fedramp.gov/" TargetMode="External" /><Relationship Type="http://schemas.openxmlformats.org/officeDocument/2006/relationships/hyperlink" Id="rId25" Target="https://www.infoblox.com/infoblox-education/" TargetMode="External" /><Relationship Type="http://schemas.openxmlformats.org/officeDocument/2006/relationships/hyperlink" Id="rId49" Target="https://www.isaca.org/credentialing/certifications" TargetMode="External" /><Relationship Type="http://schemas.openxmlformats.org/officeDocument/2006/relationships/hyperlink" Id="rId39" Target="https://www.isc2.org/" TargetMode="External" /><Relationship Type="http://schemas.openxmlformats.org/officeDocument/2006/relationships/hyperlink" Id="rId24" Target="https://www.juniper.net/" TargetMode="External" /><Relationship Type="http://schemas.openxmlformats.org/officeDocument/2006/relationships/hyperlink" Id="rId23" Target="https://www.netacad.com/" TargetMode="External" /><Relationship Type="http://schemas.openxmlformats.org/officeDocument/2006/relationships/hyperlink" Id="rId33" Target="https://www.netskope.com/training" TargetMode="External" /><Relationship Type="http://schemas.openxmlformats.org/officeDocument/2006/relationships/hyperlink" Id="rId45" Target="https://www.nist.gov/itl/applied-cybersecurity/nice" TargetMode="External" /><Relationship Type="http://schemas.openxmlformats.org/officeDocument/2006/relationships/hyperlink" Id="rId31" Target="https://www.paloaltonetworks.com/services/education" TargetMode="External" /><Relationship Type="http://schemas.openxmlformats.org/officeDocument/2006/relationships/hyperlink" Id="rId41" Target="https://www.qualys.com/training/" TargetMode="External" /><Relationship Type="http://schemas.openxmlformats.org/officeDocument/2006/relationships/hyperlink" Id="rId29" Target="https://www.sailpoint.com/university" TargetMode="External" /><Relationship Type="http://schemas.openxmlformats.org/officeDocument/2006/relationships/hyperlink" Id="rId38" Target="https://www.sans.org/cyber-security-courses/" TargetMode="External" /><Relationship Type="http://schemas.openxmlformats.org/officeDocument/2006/relationships/hyperlink" Id="rId36" Target="https://www.splunk.com/en_us/training.html" TargetMode="External" /><Relationship Type="http://schemas.openxmlformats.org/officeDocument/2006/relationships/hyperlink" Id="rId40" Target="https://www.tenable.com/education" TargetMode="External" /><Relationship Type="http://schemas.openxmlformats.org/officeDocument/2006/relationships/hyperlink" Id="rId32" Target="https://www.zscaler.com/zscaler-cyber-academ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 Book 04 — Federal Compliance — Vendor Training &amp; Lab Environments</dc:title>
  <dc:creator>Federal Cloud Services</dc:creator>
  <cp:keywords/>
  <dcterms:created xsi:type="dcterms:W3CDTF">2026-10-19T10:10:28Z</dcterms:created>
  <dcterms:modified xsi:type="dcterms:W3CDTF">2026-10-19T10:10:28Z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2026-07-18 10:20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The realization layer — external courses mapped per volume, and scripted fixture / trial-tenant / product-eval lab environments</vt:lpwstr>
  </property>
  <property fmtid="{D5CDD505-2E9C-101B-9397-08002B2CF9AE}" pid="16" name="toc-title">
    <vt:lpwstr>Table of contents</vt:lpwstr>
  </property>
</Properties>
</file>