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7" w:name="Xce5c3d25390fd455ca011c6a86daba0eeba831f"/>
    <w:p>
      <w:pPr>
        <w:pStyle w:val="Heading1"/>
      </w:pPr>
      <w:r>
        <w:t xml:space="preserve">Federal Compliance Series - Moderate — Overview</w:t>
      </w:r>
    </w:p>
    <w:p>
      <w:pPr>
        <w:pStyle w:val="FirstParagraph"/>
      </w:pPr>
      <w:r>
        <w:rPr>
          <w:b/>
          <w:bCs/>
        </w:rPr>
        <w:t xml:space="preserve">An eleven-volume, engine-neutral FedRAMP Moderate compliance program</w:t>
      </w:r>
    </w:p>
    <w:p>
      <w:pPr>
        <w:pStyle w:val="BodyText"/>
      </w:pPr>
      <w:r>
        <w:t xml:space="preserve">The Federal Compliance Series - Moderate is an eleven-volume program covering the network, identity, data-platform, security-operations, governance, training, automation, multi-cloud DNS/DHCP/IPAM, and day-2 architecture required for FedRAMP Moderate authorization under FedRAMP 20x rules.</w:t>
      </w:r>
    </w:p>
    <w:bookmarkStart w:id="9" w:name="engine-neutral-by-design"/>
    <w:p>
      <w:pPr>
        <w:pStyle w:val="Heading2"/>
      </w:pPr>
      <w:r>
        <w:t xml:space="preserve">Engine-neutral by design</w:t>
      </w:r>
    </w:p>
    <w:p>
      <w:pPr>
        <w:pStyle w:val="FirstParagraph"/>
      </w:pPr>
      <w:r>
        <w:t xml:space="preserve">The series speaks only to an open Evidence &amp; Authorization Contract — a compliance spine plus evidence slots plus structured authorization-package boundary — that any conformant evidence engine can satisfy. It stands alone without any particular identity or modernization substrate.</w:t>
      </w:r>
    </w:p>
    <w:bookmarkEnd w:id="9"/>
    <w:bookmarkStart w:id="10" w:name="eleven-volumes"/>
    <w:p>
      <w:pPr>
        <w:pStyle w:val="Heading2"/>
      </w:pPr>
      <w:r>
        <w:t xml:space="preserve">Eleven volumes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Volume</w:t>
            </w:r>
          </w:p>
        </w:tc>
        <w:tc>
          <w:tcPr/>
          <w:p>
            <w:pPr>
              <w:pStyle w:val="Compact"/>
            </w:pPr>
            <w:r>
              <w:t xml:space="preserve">Theme</w:t>
            </w:r>
          </w:p>
        </w:tc>
      </w:tr>
      <w:tr>
        <w:tc>
          <w:tcPr/>
          <w:p>
            <w:pPr>
              <w:pStyle w:val="Compact"/>
            </w:pPr>
            <w:r>
              <w:t xml:space="preserve">Vol 0</w:t>
            </w:r>
          </w:p>
        </w:tc>
        <w:tc>
          <w:tcPr/>
          <w:p>
            <w:pPr>
              <w:pStyle w:val="Compact"/>
            </w:pPr>
            <w:r>
              <w:t xml:space="preserve">Executive Summary, Questionnaire &amp; Control Crosswalk</w:t>
            </w:r>
          </w:p>
        </w:tc>
      </w:tr>
      <w:tr>
        <w:tc>
          <w:tcPr/>
          <w:p>
            <w:pPr>
              <w:pStyle w:val="Compact"/>
            </w:pPr>
            <w:r>
              <w:t xml:space="preserve">Vol I</w:t>
            </w:r>
          </w:p>
        </w:tc>
        <w:tc>
          <w:tcPr/>
          <w:p>
            <w:pPr>
              <w:pStyle w:val="Compact"/>
            </w:pPr>
            <w:r>
              <w:t xml:space="preserve">Foundation &amp; Transport</w:t>
            </w:r>
          </w:p>
        </w:tc>
      </w:tr>
      <w:tr>
        <w:tc>
          <w:tcPr/>
          <w:p>
            <w:pPr>
              <w:pStyle w:val="Compact"/>
            </w:pPr>
            <w:r>
              <w:t xml:space="preserve">Vol II</w:t>
            </w:r>
          </w:p>
        </w:tc>
        <w:tc>
          <w:tcPr/>
          <w:p>
            <w:pPr>
              <w:pStyle w:val="Compact"/>
            </w:pPr>
            <w:r>
              <w:t xml:space="preserve">Data Platform</w:t>
            </w:r>
          </w:p>
        </w:tc>
      </w:tr>
      <w:tr>
        <w:tc>
          <w:tcPr/>
          <w:p>
            <w:pPr>
              <w:pStyle w:val="Compact"/>
            </w:pPr>
            <w:r>
              <w:t xml:space="preserve">Vol III</w:t>
            </w:r>
          </w:p>
        </w:tc>
        <w:tc>
          <w:tcPr/>
          <w:p>
            <w:pPr>
              <w:pStyle w:val="Compact"/>
            </w:pPr>
            <w:r>
              <w:t xml:space="preserve">Security Operations</w:t>
            </w:r>
          </w:p>
        </w:tc>
      </w:tr>
      <w:tr>
        <w:tc>
          <w:tcPr/>
          <w:p>
            <w:pPr>
              <w:pStyle w:val="Compact"/>
            </w:pPr>
            <w:r>
              <w:t xml:space="preserve">Vol IV</w:t>
            </w:r>
          </w:p>
        </w:tc>
        <w:tc>
          <w:tcPr/>
          <w:p>
            <w:pPr>
              <w:pStyle w:val="Compact"/>
            </w:pPr>
            <w:r>
              <w:t xml:space="preserve">Governance &amp; Assurance</w:t>
            </w:r>
          </w:p>
        </w:tc>
      </w:tr>
      <w:tr>
        <w:tc>
          <w:tcPr/>
          <w:p>
            <w:pPr>
              <w:pStyle w:val="Compact"/>
            </w:pPr>
            <w:r>
              <w:t xml:space="preserve">Vol V</w:t>
            </w:r>
          </w:p>
        </w:tc>
        <w:tc>
          <w:tcPr/>
          <w:p>
            <w:pPr>
              <w:pStyle w:val="Compact"/>
            </w:pPr>
            <w:r>
              <w:t xml:space="preserve">Training &amp; Certification</w:t>
            </w:r>
          </w:p>
        </w:tc>
      </w:tr>
      <w:tr>
        <w:tc>
          <w:tcPr/>
          <w:p>
            <w:pPr>
              <w:pStyle w:val="Compact"/>
            </w:pPr>
            <w:r>
              <w:t xml:space="preserve">Vol VI</w:t>
            </w:r>
          </w:p>
        </w:tc>
        <w:tc>
          <w:tcPr/>
          <w:p>
            <w:pPr>
              <w:pStyle w:val="Compact"/>
            </w:pPr>
            <w:r>
              <w:t xml:space="preserve">Implementation</w:t>
            </w:r>
          </w:p>
        </w:tc>
      </w:tr>
      <w:tr>
        <w:tc>
          <w:tcPr/>
          <w:p>
            <w:pPr>
              <w:pStyle w:val="Compact"/>
            </w:pPr>
            <w:r>
              <w:t xml:space="preserve">Vol VII</w:t>
            </w:r>
          </w:p>
        </w:tc>
        <w:tc>
          <w:tcPr/>
          <w:p>
            <w:pPr>
              <w:pStyle w:val="Compact"/>
            </w:pPr>
            <w:r>
              <w:t xml:space="preserve">Automation</w:t>
            </w:r>
          </w:p>
        </w:tc>
      </w:tr>
      <w:tr>
        <w:tc>
          <w:tcPr/>
          <w:p>
            <w:pPr>
              <w:pStyle w:val="Compact"/>
            </w:pPr>
            <w:r>
              <w:t xml:space="preserve">Vol VIII</w:t>
            </w:r>
          </w:p>
        </w:tc>
        <w:tc>
          <w:tcPr/>
          <w:p>
            <w:pPr>
              <w:pStyle w:val="Compact"/>
            </w:pPr>
            <w:r>
              <w:t xml:space="preserve">Multi-Cloud DNS/DHCP/IPAM</w:t>
            </w:r>
          </w:p>
        </w:tc>
      </w:tr>
      <w:tr>
        <w:tc>
          <w:tcPr/>
          <w:p>
            <w:pPr>
              <w:pStyle w:val="Compact"/>
            </w:pPr>
            <w:r>
              <w:t xml:space="preserve">Vol IX</w:t>
            </w:r>
          </w:p>
        </w:tc>
        <w:tc>
          <w:tcPr/>
          <w:p>
            <w:pPr>
              <w:pStyle w:val="Compact"/>
            </w:pPr>
            <w:r>
              <w:t xml:space="preserve">Day-2 Operations</w:t>
            </w:r>
          </w:p>
        </w:tc>
      </w:tr>
      <w:tr>
        <w:tc>
          <w:tcPr/>
          <w:p>
            <w:pPr>
              <w:pStyle w:val="Compact"/>
            </w:pPr>
            <w:r>
              <w:t xml:space="preserve">Vol X</w:t>
            </w:r>
          </w:p>
        </w:tc>
        <w:tc>
          <w:tcPr/>
          <w:p>
            <w:pPr>
              <w:pStyle w:val="Compact"/>
            </w:pPr>
            <w:r>
              <w:t xml:space="preserve">Governance-Substrate Integration (optional binding)</w:t>
            </w:r>
          </w:p>
        </w:tc>
      </w:tr>
    </w:tbl>
    <w:bookmarkEnd w:id="10"/>
    <w:bookmarkStart w:id="11" w:name="one-lifecycle"/>
    <w:p>
      <w:pPr>
        <w:pStyle w:val="Heading2"/>
      </w:pPr>
      <w:r>
        <w:t xml:space="preserve">One lifecycle</w:t>
      </w:r>
    </w:p>
    <w:p>
      <w:pPr>
        <w:pStyle w:val="FirstParagraph"/>
      </w:pPr>
      <w:r>
        <w:t xml:space="preserve">Every operational change — Move, Add, Change, Deletion, and Reset — travels the same five-clause authorized path:</w:t>
      </w:r>
    </w:p>
    <w:p>
      <w:pPr>
        <w:pStyle w:val="Compact"/>
        <w:numPr>
          <w:ilvl w:val="0"/>
          <w:numId w:val="1001"/>
        </w:numPr>
      </w:pPr>
      <w:r>
        <w:t xml:space="preserve">It originates with the authoritative source.</w:t>
      </w:r>
    </w:p>
    <w:p>
      <w:pPr>
        <w:pStyle w:val="Compact"/>
        <w:numPr>
          <w:ilvl w:val="0"/>
          <w:numId w:val="1001"/>
        </w:numPr>
      </w:pPr>
      <w:r>
        <w:t xml:space="preserve">It carries an authoritative authorization.</w:t>
      </w:r>
    </w:p>
    <w:p>
      <w:pPr>
        <w:pStyle w:val="Compact"/>
        <w:numPr>
          <w:ilvl w:val="0"/>
          <w:numId w:val="1001"/>
        </w:numPr>
      </w:pPr>
      <w:r>
        <w:t xml:space="preserve">It executes under least privilege with just-in-time elevation.</w:t>
      </w:r>
    </w:p>
    <w:p>
      <w:pPr>
        <w:pStyle w:val="Compact"/>
        <w:numPr>
          <w:ilvl w:val="0"/>
          <w:numId w:val="1001"/>
        </w:numPr>
      </w:pPr>
      <w:r>
        <w:t xml:space="preserve">It closes with provenance.</w:t>
      </w:r>
    </w:p>
    <w:p>
      <w:pPr>
        <w:pStyle w:val="Compact"/>
        <w:numPr>
          <w:ilvl w:val="0"/>
          <w:numId w:val="1001"/>
        </w:numPr>
      </w:pPr>
      <w:r>
        <w:t xml:space="preserve">It emits verified, secured evidence automatically to continuous monitoring.</w:t>
      </w:r>
    </w:p>
    <w:p>
      <w:pPr>
        <w:pStyle w:val="FirstParagraph"/>
      </w:pPr>
      <w:r>
        <w:t xml:space="preserve">No closure counts unless it carries its proof.</w:t>
      </w:r>
    </w:p>
    <w:bookmarkEnd w:id="11"/>
    <w:bookmarkStart w:id="12" w:name="how-the-series-closes-controls"/>
    <w:p>
      <w:pPr>
        <w:pStyle w:val="Heading2"/>
      </w:pPr>
      <w:r>
        <w:t xml:space="preserve">How the series closes controls</w:t>
      </w:r>
    </w:p>
    <w:p>
      <w:pPr>
        <w:pStyle w:val="FirstParagraph"/>
      </w:pPr>
      <w:r>
        <w:t xml:space="preserve">Each book generates its “Authorities Closed Here” table from a single compliance spine: the authoritative source that maps every NIST SP 800-53 control the series closes to the book that closes it, the mechanism, the accreditation gate, the FedRAMP 20x Key Security Indicator theme, and the evidence slot. The tables are generated, never hand-edited.</w:t>
      </w:r>
    </w:p>
    <w:bookmarkEnd w:id="12"/>
    <w:bookmarkStart w:id="15" w:name="entry-points"/>
    <w:p>
      <w:pPr>
        <w:pStyle w:val="Heading2"/>
      </w:pPr>
      <w:r>
        <w:t xml:space="preserve">Entry points</w:t>
      </w:r>
    </w:p>
    <w:p>
      <w:pPr>
        <w:pStyle w:val="Compact"/>
        <w:numPr>
          <w:ilvl w:val="0"/>
          <w:numId w:val="1002"/>
        </w:numPr>
      </w:pPr>
      <w:r>
        <w:rPr>
          <w:b/>
          <w:bCs/>
        </w:rPr>
        <w:t xml:space="preserve">Leadership:</w:t>
      </w:r>
      <w:r>
        <w:t xml:space="preserve"> </w:t>
      </w:r>
      <w:hyperlink r:id="rId13">
        <w:r>
          <w:rPr>
            <w:rStyle w:val="Hyperlink"/>
          </w:rPr>
          <w:t xml:space="preserve">two-page executive brief</w:t>
        </w:r>
      </w:hyperlink>
      <w:r>
        <w:t xml:space="preserve">, then</w:t>
      </w:r>
      <w:r>
        <w:t xml:space="preserve"> </w:t>
      </w:r>
      <w:hyperlink r:id="rId14">
        <w:r>
          <w:rPr>
            <w:rStyle w:val="Hyperlink"/>
          </w:rPr>
          <w:t xml:space="preserve">executive summary</w:t>
        </w:r>
      </w:hyperlink>
      <w:r>
        <w:t xml:space="preserve"> </w:t>
      </w:r>
      <w:r>
        <w:t xml:space="preserve">and product inventory questionnaire.</w:t>
      </w:r>
    </w:p>
    <w:p>
      <w:pPr>
        <w:pStyle w:val="Compact"/>
        <w:numPr>
          <w:ilvl w:val="0"/>
          <w:numId w:val="1002"/>
        </w:numPr>
      </w:pPr>
      <w:r>
        <w:rPr>
          <w:b/>
          <w:bCs/>
        </w:rPr>
        <w:t xml:space="preserve">Practitioners:</w:t>
      </w:r>
      <w:r>
        <w:t xml:space="preserve"> </w:t>
      </w:r>
      <w:r>
        <w:t xml:space="preserve">core pathway (spine plus labs) and deployable automation kits.</w:t>
      </w:r>
    </w:p>
    <w:p>
      <w:pPr>
        <w:pStyle w:val="Compact"/>
        <w:numPr>
          <w:ilvl w:val="0"/>
          <w:numId w:val="1002"/>
        </w:numPr>
      </w:pPr>
      <w:r>
        <w:rPr>
          <w:b/>
          <w:bCs/>
        </w:rPr>
        <w:t xml:space="preserve">Full academy:</w:t>
      </w:r>
      <w:r>
        <w:t xml:space="preserve"> </w:t>
      </w:r>
      <w:r>
        <w:t xml:space="preserve">training and certification volume with two tracks (compliance and implementation).</w:t>
      </w:r>
    </w:p>
    <w:bookmarkEnd w:id="15"/>
    <w:bookmarkStart w:id="16" w:name="leadership-takeaway"/>
    <w:p>
      <w:pPr>
        <w:pStyle w:val="Heading2"/>
      </w:pPr>
      <w:r>
        <w:t xml:space="preserve">Leadership takeaway</w:t>
      </w:r>
    </w:p>
    <w:p>
      <w:pPr>
        <w:pStyle w:val="FirstParagraph"/>
      </w:pPr>
      <w:r>
        <w:t xml:space="preserve">The series is designed to be adopted independently of any particular identity or modernization substrate. It proves federal organizational compliance through an open Evidence &amp; Authorization Contract. Continuous evidence is a byproduct of the authorized change path, not a retrospective assembly.</w:t>
      </w:r>
    </w:p>
    <w:p>
      <w:r>
        <w:pict>
          <v:rect style="width:0;height:1.5pt" o:hralign="center" o:hrstd="t" o:hr="t"/>
        </w:pict>
      </w:r>
    </w:p>
    <w:p>
      <w:pPr>
        <w:pStyle w:val="FirstParagraph"/>
      </w:pPr>
      <w:r>
        <w:rPr>
          <w:i/>
          <w:iCs/>
        </w:rPr>
        <w:t xml:space="preserve">Cleaned extraction for project use. No internal branding or document identifiers. Full sixty-book series remains in source materials; this is the engine-neutral overview.</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federal-compliance-series-moderate/executive-brief.md" TargetMode="External" /><Relationship Type="http://schemas.openxmlformats.org/officeDocument/2006/relationships/hyperlink" Id="rId14" Target="federal-compliance-series-moderate/executive-summary.md" TargetMode="External" /></Relationships>
</file>

<file path=word/_rels/footnotes.xml.rels><?xml version="1.0" encoding="UTF-8"?><Relationships xmlns="http://schemas.openxmlformats.org/package/2006/relationships"><Relationship Type="http://schemas.openxmlformats.org/officeDocument/2006/relationships/hyperlink" Id="rId13" Target="federal-compliance-series-moderate/executive-brief.md" TargetMode="External" /><Relationship Type="http://schemas.openxmlformats.org/officeDocument/2006/relationships/hyperlink" Id="rId14" Target="federal-compliance-series-moderate/executive-sum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2026-10-19T10:10:28Z</dcterms:created>
  <dcterms:modified xsi:type="dcterms:W3CDTF">2026-10-19T10:10:28Z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biblio-config">
    <vt:lpwstr>True</vt:lpwstr>
  </property>
  <property fmtid="{D5CDD505-2E9C-101B-9397-08002B2CF9AE}" pid="4" name="date-format">
    <vt:lpwstr>YYYY-MM-DD HH:mm [ET]</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toc-title">
    <vt:lpwstr>Table of contents</vt:lpwstr>
  </property>
</Properties>
</file>