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svg" ContentType="image/svg+xml"/>
  <Override PartName="/word/media/rId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2" w:name="federal-compliance-series---moderate"/>
    <w:p>
      <w:pPr>
        <w:pStyle w:val="Heading1"/>
      </w:pPr>
      <w:r>
        <w:t xml:space="preserve">Federal Compliance Series - Moderate</w:t>
      </w:r>
    </w:p>
    <w:p>
      <w:pPr>
        <w:pStyle w:val="FirstParagraph"/>
      </w:pPr>
      <w:r>
        <w:rPr>
          <w:b/>
          <w:bCs/>
        </w:rPr>
        <w:t xml:space="preserve">Eleven-volume, engine-neutral FedRAMP Moderate compliance program</w:t>
      </w:r>
    </w:p>
    <w:p>
      <w:pPr>
        <w:pStyle w:val="CaptionedFigure"/>
      </w:pPr>
      <w:r>
        <w:drawing>
          <wp:inline>
            <wp:extent cx="5334000" cy="1866899"/>
            <wp:effectExtent b="0" l="0" r="0" t="0"/>
            <wp:docPr descr="Series Overview" title="" id="10" name="Picture"/>
            <a:graphic>
              <a:graphicData uri="http://schemas.openxmlformats.org/drawingml/2006/picture">
                <pic:pic>
                  <pic:nvPicPr>
                    <pic:cNvPr descr="../../images/compliance/series-overview.svg" id="1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66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Series Overview</w:t>
      </w:r>
    </w:p>
    <w:p>
      <w:pPr>
        <w:pStyle w:val="BodyText"/>
      </w:pPr>
      <w:r>
        <w:t xml:space="preserve">The Federal Compliance Series - Moderate covers the network, identity, data-platform, security-operations, governance, training, automation, multi-cloud DNS/DHCP/IPAM, and day-2 architecture required for FedRAMP Moderate authorization under FedRAMP 20x rules.</w:t>
      </w:r>
    </w:p>
    <w:bookmarkStart w:id="15" w:name="start-here"/>
    <w:p>
      <w:pPr>
        <w:pStyle w:val="Heading2"/>
      </w:pPr>
      <w:r>
        <w:t xml:space="preserve">Start here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Audience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Executive Brief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Authorizing officials, program executives, budget decision-makers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Hyperlink"/>
                </w:rPr>
                <w:t xml:space="preserve">Executive Summary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Technical compendium — thesis, doctrine, control-closure framing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Hyperlink"/>
                </w:rPr>
                <w:t xml:space="preserve">Series Overview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Volume map and lifecycle</w:t>
            </w:r>
          </w:p>
        </w:tc>
      </w:tr>
    </w:tbl>
    <w:bookmarkEnd w:id="15"/>
    <w:bookmarkStart w:id="26" w:name="volume-overviews"/>
    <w:p>
      <w:pPr>
        <w:pStyle w:val="Heading2"/>
      </w:pPr>
      <w:r>
        <w:t xml:space="preserve">Volume overviews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34"/>
        <w:gridCol w:w="3168"/>
        <w:gridCol w:w="221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Volume</w:t>
            </w:r>
          </w:p>
        </w:tc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Theme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I</w:t>
            </w:r>
          </w:p>
        </w:tc>
        <w:tc>
          <w:tcPr/>
          <w:p>
            <w:pPr>
              <w:pStyle w:val="Compact"/>
            </w:pPr>
            <w:hyperlink r:id="rId16">
              <w:r>
                <w:rPr>
                  <w:rStyle w:val="Hyperlink"/>
                </w:rPr>
                <w:t xml:space="preserve">Foundation &amp; Transport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Naming, identity, and transport substrate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II</w:t>
            </w:r>
          </w:p>
        </w:tc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Data Platform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Applying the substrate to the database tier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III</w:t>
            </w:r>
          </w:p>
        </w:tc>
        <w:tc>
          <w:tcPr/>
          <w:p>
            <w:pPr>
              <w:pStyle w:val="Compact"/>
            </w:pPr>
            <w:hyperlink r:id="rId18">
              <w:r>
                <w:rPr>
                  <w:rStyle w:val="Hyperlink"/>
                </w:rPr>
                <w:t xml:space="preserve">Security Operations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Actuation is platform-native; evidence is unified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IV</w:t>
            </w:r>
          </w:p>
        </w:tc>
        <w:tc>
          <w:tcPr/>
          <w:p>
            <w:pPr>
              <w:pStyle w:val="Compact"/>
            </w:pPr>
            <w:hyperlink r:id="rId19">
              <w:r>
                <w:rPr>
                  <w:rStyle w:val="Hyperlink"/>
                </w:rPr>
                <w:t xml:space="preserve">Governance &amp; Assurance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Turning technical evidence into a federal authorization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V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Training &amp; Certification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Enablement layer that teaches the series and evidences the training slot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VI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Hyperlink"/>
                </w:rPr>
                <w:t xml:space="preserve">Implementation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Deployable-artifact layer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VII</w:t>
            </w:r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Automation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Coordination layer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VIII</w:t>
            </w:r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Multi-Cloud DNS/DHCP/IPAM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Deployable realization of the naming plane across clouds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IX</w:t>
            </w:r>
          </w:p>
        </w:tc>
        <w:tc>
          <w:tcPr/>
          <w:p>
            <w:pPr>
              <w:pStyle w:val="Compact"/>
            </w:pPr>
            <w:hyperlink r:id="rId24">
              <w:r>
                <w:rPr>
                  <w:rStyle w:val="Hyperlink"/>
                </w:rPr>
                <w:t xml:space="preserve">Day-2 Operations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Governed day-2 catalog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 X</w:t>
            </w:r>
          </w:p>
        </w:tc>
        <w:tc>
          <w:tcPr/>
          <w:p>
            <w:pPr>
              <w:pStyle w:val="Compact"/>
            </w:pPr>
            <w:hyperlink r:id="rId25">
              <w:r>
                <w:rPr>
                  <w:rStyle w:val="Hyperlink"/>
                </w:rPr>
                <w:t xml:space="preserve">Governance-Substrate Integration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Optional binding to a governance substrate</w:t>
            </w:r>
          </w:p>
        </w:tc>
      </w:tr>
    </w:tbl>
    <w:bookmarkEnd w:id="26"/>
    <w:bookmarkStart w:id="30" w:name="engine-neutral-by-design"/>
    <w:p>
      <w:pPr>
        <w:pStyle w:val="Heading2"/>
      </w:pPr>
      <w:r>
        <w:t xml:space="preserve">Engine-neutral by design</w:t>
      </w:r>
    </w:p>
    <w:p>
      <w:pPr>
        <w:pStyle w:val="CaptionedFigure"/>
      </w:pPr>
      <w:r>
        <w:drawing>
          <wp:inline>
            <wp:extent cx="5334000" cy="1524000"/>
            <wp:effectExtent b="0" l="0" r="0" t="0"/>
            <wp:docPr descr="Evidence Contract" title="" id="28" name="Picture"/>
            <a:graphic>
              <a:graphicData uri="http://schemas.openxmlformats.org/drawingml/2006/picture">
                <pic:pic>
                  <pic:nvPicPr>
                    <pic:cNvPr descr="../../images/compliance/evidence-contract.svg" id="2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Evidence Contract</w:t>
      </w:r>
    </w:p>
    <w:p>
      <w:pPr>
        <w:pStyle w:val="BodyText"/>
      </w:pPr>
      <w:r>
        <w:t xml:space="preserve">The series speaks only to an open Evidence &amp; Authorization Contract that any conformant evidence engine can satisfy. It stands alone without any particular identity or modernization substrate.</w:t>
      </w:r>
    </w:p>
    <w:bookmarkEnd w:id="30"/>
    <w:bookmarkStart w:id="31" w:name="one-lifecycle"/>
    <w:p>
      <w:pPr>
        <w:pStyle w:val="Heading2"/>
      </w:pPr>
      <w:r>
        <w:t xml:space="preserve">One lifecycle</w:t>
      </w:r>
    </w:p>
    <w:p>
      <w:pPr>
        <w:pStyle w:val="FirstParagraph"/>
      </w:pPr>
      <w:r>
        <w:t xml:space="preserve">Every operational change — Move, Add, Change, Deletion, and Reset — travels the same five-clause authorized path:</w:t>
      </w:r>
    </w:p>
    <w:p>
      <w:pPr>
        <w:pStyle w:val="Compact"/>
        <w:numPr>
          <w:ilvl w:val="0"/>
          <w:numId w:val="1001"/>
        </w:numPr>
      </w:pPr>
      <w:r>
        <w:t xml:space="preserve">It originates with the authoritative source.</w:t>
      </w:r>
    </w:p>
    <w:p>
      <w:pPr>
        <w:pStyle w:val="Compact"/>
        <w:numPr>
          <w:ilvl w:val="0"/>
          <w:numId w:val="1001"/>
        </w:numPr>
      </w:pPr>
      <w:r>
        <w:t xml:space="preserve">It carries an authoritative authorization.</w:t>
      </w:r>
    </w:p>
    <w:p>
      <w:pPr>
        <w:pStyle w:val="Compact"/>
        <w:numPr>
          <w:ilvl w:val="0"/>
          <w:numId w:val="1001"/>
        </w:numPr>
      </w:pPr>
      <w:r>
        <w:t xml:space="preserve">It executes under least privilege with just-in-time elevation.</w:t>
      </w:r>
    </w:p>
    <w:p>
      <w:pPr>
        <w:pStyle w:val="Compact"/>
        <w:numPr>
          <w:ilvl w:val="0"/>
          <w:numId w:val="1001"/>
        </w:numPr>
      </w:pPr>
      <w:r>
        <w:t xml:space="preserve">It closes with provenance.</w:t>
      </w:r>
    </w:p>
    <w:p>
      <w:pPr>
        <w:pStyle w:val="Compact"/>
        <w:numPr>
          <w:ilvl w:val="0"/>
          <w:numId w:val="1001"/>
        </w:numPr>
      </w:pPr>
      <w:r>
        <w:t xml:space="preserve">It emits verified, secured evidence automatically to continuous monitoring.</w:t>
      </w:r>
    </w:p>
    <w:p>
      <w:pPr>
        <w:pStyle w:val="FirstParagraph"/>
      </w:pPr>
      <w:r>
        <w:t xml:space="preserve">No closure counts unless it carries its proof.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 All eleven volume overviews extracted; full individual books remain in source materials.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svg" /><Relationship Type="http://schemas.openxmlformats.org/officeDocument/2006/relationships/image" Id="rId9" Target="media/rId9.svg" /><Relationship Type="http://schemas.openxmlformats.org/officeDocument/2006/relationships/hyperlink" Id="rId14" Target="../federal-compliance-series-moderate-overview.md" TargetMode="External" /><Relationship Type="http://schemas.openxmlformats.org/officeDocument/2006/relationships/hyperlink" Id="rId12" Target="executive-brief.md" TargetMode="External" /><Relationship Type="http://schemas.openxmlformats.org/officeDocument/2006/relationships/hyperlink" Id="rId13" Target="executive-summary.md" TargetMode="External" /><Relationship Type="http://schemas.openxmlformats.org/officeDocument/2006/relationships/hyperlink" Id="rId16" Target="vol-i-foundation-transport.md" TargetMode="External" /><Relationship Type="http://schemas.openxmlformats.org/officeDocument/2006/relationships/hyperlink" Id="rId17" Target="vol-ii-data-platform.md" TargetMode="External" /><Relationship Type="http://schemas.openxmlformats.org/officeDocument/2006/relationships/hyperlink" Id="rId18" Target="vol-iii-security-operations.md" TargetMode="External" /><Relationship Type="http://schemas.openxmlformats.org/officeDocument/2006/relationships/hyperlink" Id="rId19" Target="vol-iv-governance-assurance.md" TargetMode="External" /><Relationship Type="http://schemas.openxmlformats.org/officeDocument/2006/relationships/hyperlink" Id="rId24" Target="vol-ix-day2-operations.md" TargetMode="External" /><Relationship Type="http://schemas.openxmlformats.org/officeDocument/2006/relationships/hyperlink" Id="rId20" Target="vol-v-training-certification.md" TargetMode="External" /><Relationship Type="http://schemas.openxmlformats.org/officeDocument/2006/relationships/hyperlink" Id="rId21" Target="vol-vi-implementation.md" TargetMode="External" /><Relationship Type="http://schemas.openxmlformats.org/officeDocument/2006/relationships/hyperlink" Id="rId22" Target="vol-vii-automation.md" TargetMode="External" /><Relationship Type="http://schemas.openxmlformats.org/officeDocument/2006/relationships/hyperlink" Id="rId23" Target="vol-viii-multi-cloud-ddi.md" TargetMode="External" /><Relationship Type="http://schemas.openxmlformats.org/officeDocument/2006/relationships/hyperlink" Id="rId25" Target="vol-x-governance-substrate-integration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../federal-compliance-series-moderate-overview.md" TargetMode="External" /><Relationship Type="http://schemas.openxmlformats.org/officeDocument/2006/relationships/hyperlink" Id="rId12" Target="executive-brief.md" TargetMode="External" /><Relationship Type="http://schemas.openxmlformats.org/officeDocument/2006/relationships/hyperlink" Id="rId13" Target="executive-summary.md" TargetMode="External" /><Relationship Type="http://schemas.openxmlformats.org/officeDocument/2006/relationships/hyperlink" Id="rId16" Target="vol-i-foundation-transport.md" TargetMode="External" /><Relationship Type="http://schemas.openxmlformats.org/officeDocument/2006/relationships/hyperlink" Id="rId17" Target="vol-ii-data-platform.md" TargetMode="External" /><Relationship Type="http://schemas.openxmlformats.org/officeDocument/2006/relationships/hyperlink" Id="rId18" Target="vol-iii-security-operations.md" TargetMode="External" /><Relationship Type="http://schemas.openxmlformats.org/officeDocument/2006/relationships/hyperlink" Id="rId19" Target="vol-iv-governance-assurance.md" TargetMode="External" /><Relationship Type="http://schemas.openxmlformats.org/officeDocument/2006/relationships/hyperlink" Id="rId24" Target="vol-ix-day2-operations.md" TargetMode="External" /><Relationship Type="http://schemas.openxmlformats.org/officeDocument/2006/relationships/hyperlink" Id="rId20" Target="vol-v-training-certification.md" TargetMode="External" /><Relationship Type="http://schemas.openxmlformats.org/officeDocument/2006/relationships/hyperlink" Id="rId21" Target="vol-vi-implementation.md" TargetMode="External" /><Relationship Type="http://schemas.openxmlformats.org/officeDocument/2006/relationships/hyperlink" Id="rId22" Target="vol-vii-automation.md" TargetMode="External" /><Relationship Type="http://schemas.openxmlformats.org/officeDocument/2006/relationships/hyperlink" Id="rId23" Target="vol-viii-multi-cloud-ddi.md" TargetMode="External" /><Relationship Type="http://schemas.openxmlformats.org/officeDocument/2006/relationships/hyperlink" Id="rId25" Target="vol-x-governance-substrate-integration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2026-10-19T10:12:03Z</dcterms:created>
  <dcterms:modified xsi:type="dcterms:W3CDTF">2026-10-19T10:12:03Z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