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7" w:name="federal-compliance-series-volume-i-books"/>
    <w:p>
      <w:pPr>
        <w:pStyle w:val="Heading1"/>
      </w:pPr>
      <w:r>
        <w:t xml:space="preserve">Federal Compliance Series — Volume I Books</w:t>
      </w:r>
    </w:p>
    <w:p>
      <w:pPr>
        <w:pStyle w:val="FirstParagraph"/>
      </w:pPr>
      <w:r>
        <w:t xml:space="preserve">Foundation and transport controls.</w:t>
      </w:r>
    </w:p>
    <w:bookmarkStart w:id="9" w:name="X19119a5b0d52715a90b51445caa3bb518a92537"/>
    <w:p>
      <w:pPr>
        <w:pStyle w:val="Heading2"/>
      </w:pPr>
      <w:r>
        <w:t xml:space="preserve">Book 00 — Foundation and Transport Overview</w:t>
      </w:r>
    </w:p>
    <w:p>
      <w:pPr>
        <w:pStyle w:val="FirstParagraph"/>
      </w:pPr>
      <w:r>
        <w:t xml:space="preserve">Scope of network, identity, and transport controls required for FedRAMP Moderate. Sets the boundary and evidence expectations for the volume.</w:t>
      </w:r>
    </w:p>
    <w:bookmarkEnd w:id="9"/>
    <w:bookmarkStart w:id="10" w:name="X5e00e42e08282f0e2cf4e7a23f7cdfe0083a57d"/>
    <w:p>
      <w:pPr>
        <w:pStyle w:val="Heading2"/>
      </w:pPr>
      <w:r>
        <w:t xml:space="preserve">Book 01 — Cloud Landing Zone, IPAM, and FedRAMP</w:t>
      </w:r>
    </w:p>
    <w:p>
      <w:pPr>
        <w:pStyle w:val="FirstParagraph"/>
      </w:pPr>
      <w:r>
        <w:t xml:space="preserve">Landing zone design, IP address management, and FedRAMP boundary considerations for cloud infrastructure.</w:t>
      </w:r>
    </w:p>
    <w:bookmarkEnd w:id="10"/>
    <w:bookmarkStart w:id="11" w:name="book-02-network-access-control-802.1x"/>
    <w:p>
      <w:pPr>
        <w:pStyle w:val="Heading2"/>
      </w:pPr>
      <w:r>
        <w:t xml:space="preserve">Book 02 — Network Access Control (802.1X)</w:t>
      </w:r>
    </w:p>
    <w:p>
      <w:pPr>
        <w:pStyle w:val="FirstParagraph"/>
      </w:pPr>
      <w:r>
        <w:t xml:space="preserve">Port-based network access control. Covers authentication, authorization, and evidence for wired and wireless access.</w:t>
      </w:r>
    </w:p>
    <w:bookmarkEnd w:id="11"/>
    <w:bookmarkStart w:id="12" w:name="Xcb5017ac0cde75f5b5cf08e4866ad958b711f78"/>
    <w:p>
      <w:pPr>
        <w:pStyle w:val="Heading2"/>
      </w:pPr>
      <w:r>
        <w:t xml:space="preserve">Book 03 — Certificates, Tokens, and Cryptographic Identity</w:t>
      </w:r>
    </w:p>
    <w:p>
      <w:pPr>
        <w:pStyle w:val="FirstParagraph"/>
      </w:pPr>
      <w:r>
        <w:t xml:space="preserve">Certificate lifecycle, token binding, and cryptographic identity controls. Includes OCSP/CRL consistency and strong mapping.</w:t>
      </w:r>
    </w:p>
    <w:bookmarkEnd w:id="12"/>
    <w:bookmarkStart w:id="13" w:name="X3f55b21f59cef68916a16343dde142cdba3d6b1"/>
    <w:p>
      <w:pPr>
        <w:pStyle w:val="Heading2"/>
      </w:pPr>
      <w:r>
        <w:t xml:space="preserve">Book 04 — HRIT Identity and Organizational SSOT</w:t>
      </w:r>
    </w:p>
    <w:p>
      <w:pPr>
        <w:pStyle w:val="FirstParagraph"/>
      </w:pPr>
      <w:r>
        <w:t xml:space="preserve">HR system of record as the authoritative source for identity and organizational attributes. Joiner/mover/leaver driven by HR events.</w:t>
      </w:r>
    </w:p>
    <w:bookmarkEnd w:id="13"/>
    <w:bookmarkStart w:id="14" w:name="book-05-network-modernization"/>
    <w:p>
      <w:pPr>
        <w:pStyle w:val="Heading2"/>
      </w:pPr>
      <w:r>
        <w:t xml:space="preserve">Book 05 — Network Modernization</w:t>
      </w:r>
    </w:p>
    <w:p>
      <w:pPr>
        <w:pStyle w:val="FirstParagraph"/>
      </w:pPr>
      <w:r>
        <w:t xml:space="preserve">Transition from legacy network controls to cloud and hybrid equivalents. Includes SD-WAN, private access, and boundary enforcement.</w:t>
      </w:r>
    </w:p>
    <w:bookmarkEnd w:id="14"/>
    <w:bookmarkStart w:id="15" w:name="Xdd64f192e44587b5b68393a5fb11952e43b8799"/>
    <w:p>
      <w:pPr>
        <w:pStyle w:val="Heading2"/>
      </w:pPr>
      <w:r>
        <w:t xml:space="preserve">Book 06 — Federal Telecommunications Modernization</w:t>
      </w:r>
    </w:p>
    <w:p>
      <w:pPr>
        <w:pStyle w:val="FirstParagraph"/>
      </w:pPr>
      <w:r>
        <w:t xml:space="preserve">Telecommunications modernization aligned with TIC 3.0 and federal requirements. Covers trust zones and policy enforcement points.</w:t>
      </w:r>
    </w:p>
    <w:bookmarkEnd w:id="15"/>
    <w:bookmarkStart w:id="16" w:name="book-07-network-enforcement-substrate"/>
    <w:p>
      <w:pPr>
        <w:pStyle w:val="Heading2"/>
      </w:pPr>
      <w:r>
        <w:t xml:space="preserve">Book 07 — Network Enforcement Substrate</w:t>
      </w:r>
    </w:p>
    <w:p>
      <w:pPr>
        <w:pStyle w:val="FirstParagraph"/>
      </w:pPr>
      <w:r>
        <w:t xml:space="preserve">Network-level enforcement mechanisms that produce evidence for access and boundary controls.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2026-10-19T10:10:29Z</dcterms:created>
  <dcterms:modified xsi:type="dcterms:W3CDTF">2026-10-19T10:10:29Z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