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X81b1ec53fd564dc8e5471ee49b388ff0852dae1"/>
    <w:p>
      <w:pPr>
        <w:pStyle w:val="Heading1"/>
      </w:pPr>
      <w:r>
        <w:t xml:space="preserve">Federal Compliance Series — Volume IV Books</w:t>
      </w:r>
    </w:p>
    <w:p>
      <w:pPr>
        <w:pStyle w:val="FirstParagraph"/>
      </w:pPr>
      <w:r>
        <w:t xml:space="preserve">Governance and assurance controls.</w:t>
      </w:r>
    </w:p>
    <w:bookmarkStart w:id="9" w:name="X964d90c674bf1b1bdfbd1451bee61221b27b2b6"/>
    <w:p>
      <w:pPr>
        <w:pStyle w:val="Heading2"/>
      </w:pPr>
      <w:r>
        <w:t xml:space="preserve">Book 00 — Governance and Assurance Overview</w:t>
      </w:r>
    </w:p>
    <w:p>
      <w:pPr>
        <w:pStyle w:val="FirstParagraph"/>
      </w:pPr>
      <w:r>
        <w:t xml:space="preserve">Scope of governance, risk, and assurance controls. Covers program management, supply chain, and authorization package requirements.</w:t>
      </w:r>
    </w:p>
    <w:bookmarkEnd w:id="9"/>
    <w:bookmarkStart w:id="10" w:name="book-01-business-continuity"/>
    <w:p>
      <w:pPr>
        <w:pStyle w:val="Heading2"/>
      </w:pPr>
      <w:r>
        <w:t xml:space="preserve">Book 01 — Business Continuity</w:t>
      </w:r>
    </w:p>
    <w:p>
      <w:pPr>
        <w:pStyle w:val="FirstParagraph"/>
      </w:pPr>
      <w:r>
        <w:t xml:space="preserve">Business continuity and disaster recovery planning with evidence of testing and currency.</w:t>
      </w:r>
    </w:p>
    <w:bookmarkEnd w:id="10"/>
    <w:bookmarkStart w:id="11" w:name="book-02-supply-chain-risk-management"/>
    <w:p>
      <w:pPr>
        <w:pStyle w:val="Heading2"/>
      </w:pPr>
      <w:r>
        <w:t xml:space="preserve">Book 02 — Supply Chain Risk Management</w:t>
      </w:r>
    </w:p>
    <w:p>
      <w:pPr>
        <w:pStyle w:val="FirstParagraph"/>
      </w:pPr>
      <w:r>
        <w:t xml:space="preserve">Supply chain risk assessment, vendor oversight, and evidence of due diligence.</w:t>
      </w:r>
    </w:p>
    <w:bookmarkEnd w:id="11"/>
    <w:bookmarkStart w:id="12" w:name="X7dbce72e4a29cb92c93aff795a17bbb2f995ed3"/>
    <w:p>
      <w:pPr>
        <w:pStyle w:val="Heading2"/>
      </w:pPr>
      <w:r>
        <w:t xml:space="preserve">Book 03 — Program Management and Governance</w:t>
      </w:r>
    </w:p>
    <w:p>
      <w:pPr>
        <w:pStyle w:val="FirstParagraph"/>
      </w:pPr>
      <w:r>
        <w:t xml:space="preserve">Program structure, roles, change control, and evidence of governance decisions.</w:t>
      </w:r>
    </w:p>
    <w:bookmarkEnd w:id="12"/>
    <w:bookmarkStart w:id="13" w:name="book-04-pii-processing-and-transparency"/>
    <w:p>
      <w:pPr>
        <w:pStyle w:val="Heading2"/>
      </w:pPr>
      <w:r>
        <w:t xml:space="preserve">Book 04 — PII Processing and Transparency</w:t>
      </w:r>
    </w:p>
    <w:p>
      <w:pPr>
        <w:pStyle w:val="FirstParagraph"/>
      </w:pPr>
      <w:r>
        <w:t xml:space="preserve">Personally identifiable information handling, transparency, and evidence of compliance with privacy requirements.</w:t>
      </w:r>
    </w:p>
    <w:bookmarkEnd w:id="13"/>
    <w:bookmarkStart w:id="14" w:name="Xd6d2c7a05d5fc6c73c4ad253e55bdd35d016624"/>
    <w:p>
      <w:pPr>
        <w:pStyle w:val="Heading2"/>
      </w:pPr>
      <w:r>
        <w:t xml:space="preserve">Book 05 — Cybersecurity Training and Awareness</w:t>
      </w:r>
    </w:p>
    <w:p>
      <w:pPr>
        <w:pStyle w:val="FirstParagraph"/>
      </w:pPr>
      <w:r>
        <w:t xml:space="preserve">Training program requirements and evidence of completion.</w:t>
      </w:r>
    </w:p>
    <w:bookmarkEnd w:id="14"/>
    <w:bookmarkStart w:id="15" w:name="X7f0a2a372fb68d0fe449616c74c9ab5c2a4e5b2"/>
    <w:p>
      <w:pPr>
        <w:pStyle w:val="Heading2"/>
      </w:pPr>
      <w:r>
        <w:t xml:space="preserve">Book 06 — Authorization Package and Continuous Monitoring</w:t>
      </w:r>
    </w:p>
    <w:p>
      <w:pPr>
        <w:pStyle w:val="FirstParagraph"/>
      </w:pPr>
      <w:r>
        <w:t xml:space="preserve">Authorization package assembly and continuous monitoring evidence for ongoing authorization.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extraction. No internal branding.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2026-10-19T10:10:29Z</dcterms:created>
  <dcterms:modified xsi:type="dcterms:W3CDTF">2026-10-19T10:10:29Z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