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8" w:name="X5697a16e739e62c54a05bf472bdf7547d74e8be"/>
    <w:p>
      <w:pPr>
        <w:pStyle w:val="Heading1"/>
      </w:pPr>
      <w:r>
        <w:t xml:space="preserve">Federal Compliance Series — Volume VI Books</w:t>
      </w:r>
    </w:p>
    <w:p>
      <w:pPr>
        <w:pStyle w:val="FirstParagraph"/>
      </w:pPr>
      <w:r>
        <w:t xml:space="preserve">Implementation patterns.</w:t>
      </w:r>
    </w:p>
    <w:bookmarkStart w:id="9" w:name="book-00-implementation-overview"/>
    <w:p>
      <w:pPr>
        <w:pStyle w:val="Heading2"/>
      </w:pPr>
      <w:r>
        <w:t xml:space="preserve">Book 00 — Implementation Overview</w:t>
      </w:r>
    </w:p>
    <w:p>
      <w:pPr>
        <w:pStyle w:val="FirstParagraph"/>
      </w:pPr>
      <w:r>
        <w:t xml:space="preserve">Overview of implementation patterns for controls as code and automated evidence.</w:t>
      </w:r>
    </w:p>
    <w:bookmarkEnd w:id="9"/>
    <w:bookmarkStart w:id="10" w:name="book-01-landing-zone-and-network-as-code"/>
    <w:p>
      <w:pPr>
        <w:pStyle w:val="Heading2"/>
      </w:pPr>
      <w:r>
        <w:t xml:space="preserve">Book 01 — Landing Zone and Network as Code</w:t>
      </w:r>
    </w:p>
    <w:p>
      <w:pPr>
        <w:pStyle w:val="FirstParagraph"/>
      </w:pPr>
      <w:r>
        <w:t xml:space="preserve">Infrastructure as code patterns for landing zones and network controls.</w:t>
      </w:r>
    </w:p>
    <w:bookmarkEnd w:id="10"/>
    <w:bookmarkStart w:id="11" w:name="book-02-identity-and-access-as-code"/>
    <w:p>
      <w:pPr>
        <w:pStyle w:val="Heading2"/>
      </w:pPr>
      <w:r>
        <w:t xml:space="preserve">Book 02 — Identity and Access as Code</w:t>
      </w:r>
    </w:p>
    <w:p>
      <w:pPr>
        <w:pStyle w:val="FirstParagraph"/>
      </w:pPr>
      <w:r>
        <w:t xml:space="preserve">Identity and access configuration as code. Includes Conditional Access, group membership, and role assignment.</w:t>
      </w:r>
    </w:p>
    <w:bookmarkEnd w:id="11"/>
    <w:bookmarkStart w:id="12" w:name="book-03-detection-engineering"/>
    <w:p>
      <w:pPr>
        <w:pStyle w:val="Heading2"/>
      </w:pPr>
      <w:r>
        <w:t xml:space="preserve">Book 03 — Detection Engineering</w:t>
      </w:r>
    </w:p>
    <w:p>
      <w:pPr>
        <w:pStyle w:val="FirstParagraph"/>
      </w:pPr>
      <w:r>
        <w:t xml:space="preserve">Detection rule development, testing, and evidence of coverage.</w:t>
      </w:r>
    </w:p>
    <w:bookmarkEnd w:id="12"/>
    <w:bookmarkStart w:id="13" w:name="book-04-response-automation-soar"/>
    <w:p>
      <w:pPr>
        <w:pStyle w:val="Heading2"/>
      </w:pPr>
      <w:r>
        <w:t xml:space="preserve">Book 04 — Response Automation (SOAR)</w:t>
      </w:r>
    </w:p>
    <w:p>
      <w:pPr>
        <w:pStyle w:val="FirstParagraph"/>
      </w:pPr>
      <w:r>
        <w:t xml:space="preserve">Security orchestration, automation, and response patterns with evidence of execution.</w:t>
      </w:r>
    </w:p>
    <w:bookmarkEnd w:id="13"/>
    <w:bookmarkStart w:id="14" w:name="book-05-data-protection-deployment"/>
    <w:p>
      <w:pPr>
        <w:pStyle w:val="Heading2"/>
      </w:pPr>
      <w:r>
        <w:t xml:space="preserve">Book 05 — Data Protection Deployment</w:t>
      </w:r>
    </w:p>
    <w:p>
      <w:pPr>
        <w:pStyle w:val="FirstParagraph"/>
      </w:pPr>
      <w:r>
        <w:t xml:space="preserve">Deployment patterns for data protection controls.</w:t>
      </w:r>
    </w:p>
    <w:bookmarkEnd w:id="14"/>
    <w:bookmarkStart w:id="15" w:name="X6ba623790e3e03a18aaa7b76262c6e00fa0cc0c"/>
    <w:p>
      <w:pPr>
        <w:pStyle w:val="Heading2"/>
      </w:pPr>
      <w:r>
        <w:t xml:space="preserve">Book 06 — Configuration Baselines and Hardening</w:t>
      </w:r>
    </w:p>
    <w:p>
      <w:pPr>
        <w:pStyle w:val="FirstParagraph"/>
      </w:pPr>
      <w:r>
        <w:t xml:space="preserve">Baseline configuration and hardening as code.</w:t>
      </w:r>
    </w:p>
    <w:bookmarkEnd w:id="15"/>
    <w:bookmarkStart w:id="16" w:name="X566c1d50cf8c45993428558746a8d137d9a0379"/>
    <w:p>
      <w:pPr>
        <w:pStyle w:val="Heading2"/>
      </w:pPr>
      <w:r>
        <w:t xml:space="preserve">Book 07 — Evidence and Continuous Monitoring Pipeline</w:t>
      </w:r>
    </w:p>
    <w:p>
      <w:pPr>
        <w:pStyle w:val="FirstParagraph"/>
      </w:pPr>
      <w:r>
        <w:t xml:space="preserve">Pipeline for collecting, retaining, and presenting continuous monitoring evidence.</w:t>
      </w:r>
    </w:p>
    <w:bookmarkEnd w:id="16"/>
    <w:bookmarkStart w:id="17" w:name="book-08-validation-and-test-harnesses"/>
    <w:p>
      <w:pPr>
        <w:pStyle w:val="Heading2"/>
      </w:pPr>
      <w:r>
        <w:t xml:space="preserve">Book 08 — Validation and Test Harnesses</w:t>
      </w:r>
    </w:p>
    <w:p>
      <w:pPr>
        <w:pStyle w:val="FirstParagraph"/>
      </w:pPr>
      <w:r>
        <w:t xml:space="preserve">Test harnesses for validating control effectiveness and evidence integrity.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extraction. No internal branding.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2026-10-19T10:10:30Z</dcterms:created>
  <dcterms:modified xsi:type="dcterms:W3CDTF">2026-10-19T10:10:30Z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