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bcf2125d811ab60a49ce28c8d44bbd92340d65e"/>
    <w:p>
      <w:pPr>
        <w:pStyle w:val="Heading1"/>
      </w:pPr>
      <w:r>
        <w:t xml:space="preserve">Federal Compliance Series — Volume VII Books</w:t>
      </w:r>
    </w:p>
    <w:p>
      <w:pPr>
        <w:pStyle w:val="FirstParagraph"/>
      </w:pPr>
      <w:r>
        <w:t xml:space="preserve">Automation and ServiceNow integration.</w:t>
      </w:r>
    </w:p>
    <w:bookmarkStart w:id="9" w:name="book-00-servicenow-automation-overview"/>
    <w:p>
      <w:pPr>
        <w:pStyle w:val="Heading2"/>
      </w:pPr>
      <w:r>
        <w:t xml:space="preserve">Book 00 — ServiceNow Automation Overview</w:t>
      </w:r>
    </w:p>
    <w:p>
      <w:pPr>
        <w:pStyle w:val="FirstParagraph"/>
      </w:pPr>
      <w:r>
        <w:t xml:space="preserve">Overview of automation patterns using ServiceNow or equivalent ITSM platforms for compliance workflows.</w:t>
      </w:r>
    </w:p>
    <w:bookmarkEnd w:id="9"/>
    <w:bookmarkStart w:id="10" w:name="Xe8092666430a80cd0c9cb9fa3a8f3b7e8447057"/>
    <w:p>
      <w:pPr>
        <w:pStyle w:val="Heading2"/>
      </w:pPr>
      <w:r>
        <w:t xml:space="preserve">Book 01 — CMDB Reconciliation and Asset Identity</w:t>
      </w:r>
    </w:p>
    <w:p>
      <w:pPr>
        <w:pStyle w:val="FirstParagraph"/>
      </w:pPr>
      <w:r>
        <w:t xml:space="preserve">Configuration management database reconciliation with authoritative asset and identity sources.</w:t>
      </w:r>
    </w:p>
    <w:bookmarkEnd w:id="10"/>
    <w:bookmarkStart w:id="11" w:name="X53fe4cad50f88b2d7a63b93e3059fbf63ee1005"/>
    <w:p>
      <w:pPr>
        <w:pStyle w:val="Heading2"/>
      </w:pPr>
      <w:r>
        <w:t xml:space="preserve">Book 02 — M365 Control Compliance Automation</w:t>
      </w:r>
    </w:p>
    <w:p>
      <w:pPr>
        <w:pStyle w:val="FirstParagraph"/>
      </w:pPr>
      <w:r>
        <w:t xml:space="preserve">Automation of Microsoft 365 control evidence collection.</w:t>
      </w:r>
    </w:p>
    <w:bookmarkEnd w:id="11"/>
    <w:bookmarkStart w:id="12" w:name="X3061d1a6ce1221d2eca2b72c86fbf4072baffc2"/>
    <w:p>
      <w:pPr>
        <w:pStyle w:val="Heading2"/>
      </w:pPr>
      <w:r>
        <w:t xml:space="preserve">Book 03 — Azure Control Compliance Automation</w:t>
      </w:r>
    </w:p>
    <w:p>
      <w:pPr>
        <w:pStyle w:val="FirstParagraph"/>
      </w:pPr>
      <w:r>
        <w:t xml:space="preserve">Automation of Azure control evidence collection.</w:t>
      </w:r>
    </w:p>
    <w:bookmarkEnd w:id="12"/>
    <w:bookmarkStart w:id="13" w:name="Xe2da7af266f258da27d0f2708565797d61e30dd"/>
    <w:p>
      <w:pPr>
        <w:pStyle w:val="Heading2"/>
      </w:pPr>
      <w:r>
        <w:t xml:space="preserve">Book 04 — Control Attestation and Evidence (KSI)</w:t>
      </w:r>
    </w:p>
    <w:p>
      <w:pPr>
        <w:pStyle w:val="FirstParagraph"/>
      </w:pPr>
      <w:r>
        <w:t xml:space="preserve">Control attestation workflows and evidence packaging.</w:t>
      </w:r>
    </w:p>
    <w:bookmarkEnd w:id="13"/>
    <w:bookmarkStart w:id="14" w:name="book-05-servicenow-compliance-app"/>
    <w:p>
      <w:pPr>
        <w:pStyle w:val="Heading2"/>
      </w:pPr>
      <w:r>
        <w:t xml:space="preserve">Book 05 — ServiceNow Compliance App</w:t>
      </w:r>
    </w:p>
    <w:p>
      <w:pPr>
        <w:pStyle w:val="FirstParagraph"/>
      </w:pPr>
      <w:r>
        <w:t xml:space="preserve">Compliance application patterns within ServiceNow.</w:t>
      </w:r>
    </w:p>
    <w:bookmarkEnd w:id="14"/>
    <w:bookmarkStart w:id="15" w:name="X67e381964cdd55434653d8a62f74ec5b0f7535a"/>
    <w:p>
      <w:pPr>
        <w:pStyle w:val="Heading2"/>
      </w:pPr>
      <w:r>
        <w:t xml:space="preserve">Book 06 — AWS Control Compliance Automation</w:t>
      </w:r>
    </w:p>
    <w:p>
      <w:pPr>
        <w:pStyle w:val="FirstParagraph"/>
      </w:pPr>
      <w:r>
        <w:t xml:space="preserve">Automation of AWS control evidence collection.</w:t>
      </w:r>
    </w:p>
    <w:bookmarkEnd w:id="15"/>
    <w:bookmarkStart w:id="16" w:name="X7cd35fe09f7bf4f538e8a0dd8fad6ef09eaef89"/>
    <w:p>
      <w:pPr>
        <w:pStyle w:val="Heading2"/>
      </w:pPr>
      <w:r>
        <w:t xml:space="preserve">Book 07 — VMware Control Compliance Automation</w:t>
      </w:r>
    </w:p>
    <w:p>
      <w:pPr>
        <w:pStyle w:val="FirstParagraph"/>
      </w:pPr>
      <w:r>
        <w:t xml:space="preserve">Automation of VMware control evidence collection.</w:t>
      </w:r>
    </w:p>
    <w:bookmarkEnd w:id="16"/>
    <w:bookmarkStart w:id="17" w:name="Xa42bc4d462bb48d2bbcdd1b6bd6f9464d9983c9"/>
    <w:p>
      <w:pPr>
        <w:pStyle w:val="Heading2"/>
      </w:pPr>
      <w:r>
        <w:t xml:space="preserve">Book 08 — Native IAM, RBAC, and Access Governance</w:t>
      </w:r>
    </w:p>
    <w:p>
      <w:pPr>
        <w:pStyle w:val="FirstParagraph"/>
      </w:pPr>
      <w:r>
        <w:t xml:space="preserve">Identity and access governance automation independent of a specific ITSM platform.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2026-10-19T10:10:30Z</dcterms:created>
  <dcterms:modified xsi:type="dcterms:W3CDTF">2026-10-19T10:10:30Z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